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BD8" w:rsidRDefault="00C90BD8" w:rsidP="00184A11">
      <w:pPr>
        <w:rPr>
          <w:b/>
          <w:bCs/>
          <w:sz w:val="48"/>
          <w:szCs w:val="48"/>
        </w:rPr>
      </w:pPr>
      <w:bookmarkStart w:id="0" w:name="_GoBack"/>
      <w:bookmarkEnd w:id="0"/>
    </w:p>
    <w:p w:rsidR="00C90BD8" w:rsidRDefault="00C90BD8" w:rsidP="00184A11">
      <w:pPr>
        <w:rPr>
          <w:b/>
          <w:bCs/>
          <w:sz w:val="48"/>
          <w:szCs w:val="48"/>
        </w:rPr>
      </w:pPr>
    </w:p>
    <w:p w:rsidR="00184A11" w:rsidRDefault="00C90BD8" w:rsidP="00F1479C">
      <w:pPr>
        <w:jc w:val="center"/>
        <w:rPr>
          <w:b/>
          <w:bCs/>
          <w:color w:val="1F497D"/>
          <w:sz w:val="48"/>
          <w:szCs w:val="48"/>
          <w:u w:val="single"/>
        </w:rPr>
      </w:pPr>
      <w:r w:rsidRPr="00F1479C">
        <w:rPr>
          <w:b/>
          <w:bCs/>
          <w:color w:val="1F497D"/>
          <w:sz w:val="48"/>
          <w:szCs w:val="48"/>
          <w:u w:val="single"/>
        </w:rPr>
        <w:t>Planning and Advanced Reservation of Capacity Agreement (PARCA)</w:t>
      </w:r>
    </w:p>
    <w:p w:rsidR="00F1479C" w:rsidRDefault="00F1479C" w:rsidP="00F1479C">
      <w:pPr>
        <w:jc w:val="center"/>
        <w:rPr>
          <w:b/>
          <w:bCs/>
          <w:color w:val="1F497D"/>
          <w:sz w:val="48"/>
          <w:szCs w:val="48"/>
          <w:u w:val="single"/>
        </w:rPr>
      </w:pPr>
    </w:p>
    <w:p w:rsidR="00F1479C" w:rsidRPr="00F1479C" w:rsidRDefault="00F1479C" w:rsidP="00F1479C">
      <w:pPr>
        <w:jc w:val="center"/>
        <w:rPr>
          <w:b/>
          <w:bCs/>
          <w:color w:val="1F497D"/>
          <w:sz w:val="48"/>
          <w:szCs w:val="48"/>
          <w:u w:val="single"/>
        </w:rPr>
      </w:pPr>
    </w:p>
    <w:p w:rsidR="00F1479C" w:rsidRDefault="00F1479C" w:rsidP="00F1479C">
      <w:pPr>
        <w:jc w:val="center"/>
        <w:rPr>
          <w:b/>
          <w:bCs/>
          <w:color w:val="1F497D"/>
          <w:sz w:val="48"/>
          <w:szCs w:val="48"/>
          <w:u w:val="single"/>
        </w:rPr>
      </w:pPr>
      <w:r>
        <w:rPr>
          <w:b/>
          <w:bCs/>
          <w:color w:val="1F497D"/>
          <w:sz w:val="48"/>
          <w:szCs w:val="48"/>
          <w:u w:val="single"/>
        </w:rPr>
        <w:t>DEMONSTRATION INFORMATION</w:t>
      </w:r>
    </w:p>
    <w:p w:rsidR="00F1479C" w:rsidRPr="00EF49D7" w:rsidRDefault="00F1479C" w:rsidP="00F1479C">
      <w:pPr>
        <w:jc w:val="center"/>
        <w:rPr>
          <w:b/>
          <w:bCs/>
          <w:color w:val="1F497D"/>
          <w:sz w:val="48"/>
          <w:szCs w:val="48"/>
        </w:rPr>
      </w:pPr>
      <w:r>
        <w:rPr>
          <w:b/>
          <w:bCs/>
          <w:color w:val="1F497D"/>
          <w:sz w:val="48"/>
          <w:szCs w:val="48"/>
          <w:u w:val="single"/>
        </w:rPr>
        <w:t>GUIDELINES</w:t>
      </w:r>
    </w:p>
    <w:p w:rsidR="00184A11" w:rsidRPr="00EF49D7" w:rsidRDefault="00184A11" w:rsidP="00184A11">
      <w:pPr>
        <w:rPr>
          <w:b/>
          <w:bCs/>
          <w:color w:val="1F497D"/>
          <w:sz w:val="48"/>
          <w:szCs w:val="48"/>
        </w:rPr>
      </w:pPr>
    </w:p>
    <w:p w:rsidR="00184A11" w:rsidRDefault="00184A11" w:rsidP="00184A11">
      <w:pPr>
        <w:rPr>
          <w:sz w:val="48"/>
          <w:szCs w:val="48"/>
        </w:rPr>
      </w:pPr>
    </w:p>
    <w:p w:rsidR="00C90BD8" w:rsidRDefault="00C90BD8" w:rsidP="00184A11">
      <w:pPr>
        <w:rPr>
          <w:sz w:val="48"/>
          <w:szCs w:val="48"/>
        </w:rPr>
      </w:pPr>
    </w:p>
    <w:p w:rsidR="00C90BD8" w:rsidRDefault="00C90BD8" w:rsidP="00184A11">
      <w:pPr>
        <w:rPr>
          <w:sz w:val="48"/>
          <w:szCs w:val="48"/>
        </w:rPr>
      </w:pPr>
    </w:p>
    <w:p w:rsidR="00C90BD8" w:rsidRDefault="00C90BD8" w:rsidP="00184A11">
      <w:pPr>
        <w:rPr>
          <w:sz w:val="48"/>
          <w:szCs w:val="48"/>
        </w:rPr>
      </w:pPr>
    </w:p>
    <w:p w:rsidR="00C90BD8" w:rsidRDefault="00C90BD8" w:rsidP="00184A11">
      <w:pPr>
        <w:rPr>
          <w:sz w:val="48"/>
          <w:szCs w:val="48"/>
        </w:rPr>
      </w:pPr>
    </w:p>
    <w:p w:rsidR="00C90BD8" w:rsidRPr="00C90BD8" w:rsidRDefault="00C90BD8" w:rsidP="00184A11">
      <w:pPr>
        <w:rPr>
          <w:sz w:val="48"/>
          <w:szCs w:val="48"/>
        </w:rPr>
      </w:pPr>
    </w:p>
    <w:p w:rsidR="00184A11" w:rsidRPr="00184A11" w:rsidRDefault="00184A11" w:rsidP="00184A11">
      <w:pPr>
        <w:rPr>
          <w:b/>
          <w:bCs/>
        </w:rPr>
      </w:pPr>
      <w:r w:rsidRPr="00184A11">
        <w:rPr>
          <w:b/>
          <w:bCs/>
        </w:rPr>
        <w:t>DOCUMENT HISTORY</w:t>
      </w:r>
    </w:p>
    <w:p w:rsidR="00F1479C" w:rsidRDefault="00184A11" w:rsidP="00184A11">
      <w:r w:rsidRPr="00184A11">
        <w:t xml:space="preserve">V1 </w:t>
      </w:r>
      <w:r w:rsidR="00C90BD8">
        <w:t>January 2015</w:t>
      </w:r>
      <w:r w:rsidRPr="00184A11">
        <w:t xml:space="preserve"> First Version</w:t>
      </w:r>
    </w:p>
    <w:p w:rsidR="00184A11" w:rsidRPr="009542BE" w:rsidRDefault="00184A11" w:rsidP="00184A11">
      <w:pPr>
        <w:rPr>
          <w:u w:val="single"/>
        </w:rPr>
      </w:pPr>
      <w:r w:rsidRPr="009542BE">
        <w:rPr>
          <w:b/>
          <w:bCs/>
          <w:color w:val="1F497D" w:themeColor="text2"/>
          <w:u w:val="single"/>
        </w:rPr>
        <w:lastRenderedPageBreak/>
        <w:t>ABOUT THIS DOCUMENT</w:t>
      </w:r>
    </w:p>
    <w:p w:rsidR="00860DD6" w:rsidRDefault="00860DD6" w:rsidP="00C90BD8">
      <w:r>
        <w:t>A PARCA is a multi-phased bilateral contract between National Grid and a customer.  It allows firm quarterly system entry capacity and / or firm enduring annual NTS exit (flat) capacity to be reserved for the customer while they develop initial phases of their own project.</w:t>
      </w:r>
    </w:p>
    <w:p w:rsidR="00184A11" w:rsidRPr="00184A11" w:rsidRDefault="00184A11" w:rsidP="00C90BD8">
      <w:r w:rsidRPr="00184A11">
        <w:t>This do</w:t>
      </w:r>
      <w:r w:rsidR="00C90BD8">
        <w:t xml:space="preserve">cument describes the </w:t>
      </w:r>
      <w:r w:rsidR="00662586">
        <w:t xml:space="preserve">data requirements throughout Phase 0 to </w:t>
      </w:r>
      <w:r w:rsidR="00860DD6">
        <w:t>Phase 2 of your PARCA project to demonstrate that your project is progressing.</w:t>
      </w:r>
    </w:p>
    <w:p w:rsidR="00860DD6" w:rsidRDefault="00860DD6" w:rsidP="00184A11"/>
    <w:p w:rsidR="00184A11" w:rsidRDefault="00184A11" w:rsidP="00184A11">
      <w:r w:rsidRPr="00184A11">
        <w:t>If you require further details about any of the information contained within this</w:t>
      </w:r>
      <w:r w:rsidR="00662586">
        <w:t xml:space="preserve"> </w:t>
      </w:r>
      <w:r w:rsidRPr="00184A11">
        <w:t>document or have comments on how this document might be improved please</w:t>
      </w:r>
      <w:r w:rsidR="00662586">
        <w:t xml:space="preserve"> </w:t>
      </w:r>
      <w:r w:rsidRPr="00184A11">
        <w:t xml:space="preserve">contact the Gas Customer Team in </w:t>
      </w:r>
      <w:proofErr w:type="spellStart"/>
      <w:r w:rsidR="00860DD6">
        <w:t>Tx</w:t>
      </w:r>
      <w:proofErr w:type="spellEnd"/>
      <w:r w:rsidR="00860DD6">
        <w:t xml:space="preserve"> Network Service</w:t>
      </w:r>
      <w:r w:rsidRPr="00184A11">
        <w:t xml:space="preserve"> at</w:t>
      </w:r>
      <w:r w:rsidR="00662586">
        <w:t xml:space="preserve"> </w:t>
      </w:r>
      <w:hyperlink r:id="rId9" w:history="1">
        <w:r w:rsidR="00662586" w:rsidRPr="00833AC8">
          <w:rPr>
            <w:rStyle w:val="Hyperlink"/>
          </w:rPr>
          <w:t>Box.Transmission.NewGasConnections.NTS@uk.ngrid.com</w:t>
        </w:r>
      </w:hyperlink>
      <w:r w:rsidR="00662586">
        <w:t xml:space="preserve"> </w:t>
      </w:r>
      <w:r w:rsidRPr="00184A11">
        <w:t>or by post to:</w:t>
      </w:r>
    </w:p>
    <w:p w:rsidR="00F1479C" w:rsidRPr="00184A11" w:rsidRDefault="00F1479C" w:rsidP="00184A11"/>
    <w:p w:rsidR="00184A11" w:rsidRPr="00184A11" w:rsidRDefault="00184A11" w:rsidP="003932D5">
      <w:pPr>
        <w:spacing w:after="0" w:line="240" w:lineRule="auto"/>
      </w:pPr>
      <w:r w:rsidRPr="00184A11">
        <w:t>Gas Customer Manager</w:t>
      </w:r>
    </w:p>
    <w:p w:rsidR="00184A11" w:rsidRPr="00184A11" w:rsidRDefault="00184A11" w:rsidP="003932D5">
      <w:pPr>
        <w:spacing w:after="0" w:line="240" w:lineRule="auto"/>
      </w:pPr>
      <w:r w:rsidRPr="00184A11">
        <w:t>National Grid plc</w:t>
      </w:r>
    </w:p>
    <w:p w:rsidR="00184A11" w:rsidRPr="00184A11" w:rsidRDefault="00860DD6" w:rsidP="003932D5">
      <w:pPr>
        <w:spacing w:after="0" w:line="240" w:lineRule="auto"/>
      </w:pPr>
      <w:proofErr w:type="spellStart"/>
      <w:proofErr w:type="gramStart"/>
      <w:r>
        <w:t>Tx</w:t>
      </w:r>
      <w:proofErr w:type="spellEnd"/>
      <w:proofErr w:type="gramEnd"/>
      <w:r>
        <w:t xml:space="preserve"> Network Service</w:t>
      </w:r>
    </w:p>
    <w:p w:rsidR="00184A11" w:rsidRPr="00184A11" w:rsidRDefault="00184A11" w:rsidP="003932D5">
      <w:pPr>
        <w:spacing w:after="0" w:line="240" w:lineRule="auto"/>
      </w:pPr>
      <w:r w:rsidRPr="00184A11">
        <w:t>National Grid House</w:t>
      </w:r>
    </w:p>
    <w:p w:rsidR="00184A11" w:rsidRPr="00184A11" w:rsidRDefault="00184A11" w:rsidP="003932D5">
      <w:pPr>
        <w:spacing w:after="0" w:line="240" w:lineRule="auto"/>
      </w:pPr>
      <w:r w:rsidRPr="00184A11">
        <w:t>Warwick Technology Park</w:t>
      </w:r>
    </w:p>
    <w:p w:rsidR="00184A11" w:rsidRPr="00184A11" w:rsidRDefault="00184A11" w:rsidP="003932D5">
      <w:pPr>
        <w:spacing w:after="0" w:line="240" w:lineRule="auto"/>
      </w:pPr>
      <w:r w:rsidRPr="00184A11">
        <w:t>Gallows Hill</w:t>
      </w:r>
    </w:p>
    <w:p w:rsidR="00184A11" w:rsidRPr="00184A11" w:rsidRDefault="00184A11" w:rsidP="003932D5">
      <w:pPr>
        <w:spacing w:after="0" w:line="240" w:lineRule="auto"/>
      </w:pPr>
      <w:r w:rsidRPr="00184A11">
        <w:t>Warwick</w:t>
      </w:r>
    </w:p>
    <w:p w:rsidR="00184A11" w:rsidRPr="00184A11" w:rsidRDefault="00184A11" w:rsidP="003932D5">
      <w:pPr>
        <w:spacing w:after="0" w:line="240" w:lineRule="auto"/>
      </w:pPr>
      <w:r w:rsidRPr="00184A11">
        <w:t>CV34 6DA</w:t>
      </w:r>
    </w:p>
    <w:p w:rsidR="00184A11" w:rsidRDefault="00184A11" w:rsidP="00860DD6"/>
    <w:p w:rsidR="00860DD6" w:rsidRDefault="00860DD6" w:rsidP="00860DD6"/>
    <w:p w:rsidR="00860DD6" w:rsidRDefault="00860DD6" w:rsidP="00860DD6"/>
    <w:p w:rsidR="00860DD6" w:rsidRDefault="00860DD6" w:rsidP="00860DD6"/>
    <w:p w:rsidR="00860DD6" w:rsidRDefault="00860DD6" w:rsidP="00860DD6"/>
    <w:p w:rsidR="00860DD6" w:rsidRDefault="00860DD6" w:rsidP="00860DD6"/>
    <w:p w:rsidR="00860DD6" w:rsidRDefault="00860DD6" w:rsidP="00860DD6"/>
    <w:p w:rsidR="00860DD6" w:rsidRPr="00184A11" w:rsidRDefault="00860DD6" w:rsidP="00860DD6"/>
    <w:p w:rsidR="00184A11" w:rsidRPr="00184A11" w:rsidRDefault="00184A11" w:rsidP="00184A11"/>
    <w:p w:rsidR="00662586" w:rsidRDefault="00662586" w:rsidP="00184A11">
      <w:pPr>
        <w:rPr>
          <w:b/>
          <w:bCs/>
        </w:rPr>
      </w:pPr>
    </w:p>
    <w:p w:rsidR="009542BE" w:rsidRDefault="009542BE" w:rsidP="00184A11">
      <w:pPr>
        <w:rPr>
          <w:b/>
          <w:bCs/>
        </w:rPr>
      </w:pPr>
    </w:p>
    <w:p w:rsidR="003932D5" w:rsidRDefault="003932D5" w:rsidP="00184A11">
      <w:pPr>
        <w:rPr>
          <w:b/>
          <w:bCs/>
        </w:rPr>
      </w:pPr>
    </w:p>
    <w:p w:rsidR="003932D5" w:rsidRDefault="003932D5" w:rsidP="00184A11">
      <w:pPr>
        <w:rPr>
          <w:b/>
          <w:bCs/>
        </w:rPr>
      </w:pPr>
    </w:p>
    <w:p w:rsidR="003932D5" w:rsidRDefault="003932D5" w:rsidP="00184A11">
      <w:pPr>
        <w:rPr>
          <w:b/>
          <w:bCs/>
        </w:rPr>
      </w:pPr>
    </w:p>
    <w:p w:rsidR="00184A11" w:rsidRPr="009542BE" w:rsidRDefault="00184A11" w:rsidP="00184A11">
      <w:pPr>
        <w:rPr>
          <w:b/>
          <w:bCs/>
          <w:color w:val="1F497D" w:themeColor="text2"/>
          <w:u w:val="single"/>
        </w:rPr>
      </w:pPr>
      <w:r w:rsidRPr="009542BE">
        <w:rPr>
          <w:b/>
          <w:bCs/>
          <w:color w:val="1F497D" w:themeColor="text2"/>
          <w:u w:val="single"/>
        </w:rPr>
        <w:lastRenderedPageBreak/>
        <w:t>CONTENTS</w:t>
      </w:r>
    </w:p>
    <w:p w:rsidR="00184A11" w:rsidRPr="00EF49D7" w:rsidRDefault="00184A11" w:rsidP="00184A11">
      <w:pPr>
        <w:rPr>
          <w:color w:val="1F497D" w:themeColor="text2"/>
        </w:rPr>
      </w:pPr>
      <w:r w:rsidRPr="00EF49D7">
        <w:rPr>
          <w:b/>
          <w:bCs/>
          <w:color w:val="1F497D" w:themeColor="text2"/>
        </w:rPr>
        <w:t>ABOUT THIS DOCUMENT</w:t>
      </w:r>
      <w:r w:rsidRPr="00EF49D7">
        <w:rPr>
          <w:color w:val="1F497D" w:themeColor="text2"/>
        </w:rPr>
        <w:t>......................................................................................</w:t>
      </w:r>
      <w:r w:rsidR="00B76867">
        <w:rPr>
          <w:color w:val="1F497D" w:themeColor="text2"/>
        </w:rPr>
        <w:t>2</w:t>
      </w:r>
    </w:p>
    <w:p w:rsidR="00184A11" w:rsidRPr="00EF49D7" w:rsidRDefault="00184A11" w:rsidP="00184A11">
      <w:pPr>
        <w:rPr>
          <w:color w:val="1F497D" w:themeColor="text2"/>
        </w:rPr>
      </w:pPr>
      <w:r w:rsidRPr="00EF49D7">
        <w:rPr>
          <w:b/>
          <w:bCs/>
          <w:color w:val="1F497D" w:themeColor="text2"/>
        </w:rPr>
        <w:t xml:space="preserve">GENERAL INTRODUCTION </w:t>
      </w:r>
      <w:r w:rsidRPr="00EF49D7">
        <w:rPr>
          <w:color w:val="1F497D" w:themeColor="text2"/>
        </w:rPr>
        <w:t>...................................................................................</w:t>
      </w:r>
      <w:r w:rsidR="00CC6950">
        <w:rPr>
          <w:color w:val="1F497D" w:themeColor="text2"/>
        </w:rPr>
        <w:t>.</w:t>
      </w:r>
      <w:r w:rsidR="00B76867">
        <w:rPr>
          <w:color w:val="1F497D" w:themeColor="text2"/>
        </w:rPr>
        <w:t>4</w:t>
      </w:r>
    </w:p>
    <w:p w:rsidR="00184A11" w:rsidRDefault="00184A11" w:rsidP="00184A11">
      <w:pPr>
        <w:rPr>
          <w:color w:val="1F497D" w:themeColor="text2"/>
        </w:rPr>
      </w:pPr>
      <w:r w:rsidRPr="00EF49D7">
        <w:rPr>
          <w:b/>
          <w:bCs/>
          <w:color w:val="1F497D" w:themeColor="text2"/>
        </w:rPr>
        <w:t>DEMONSTRATION INFORMATION POLICY</w:t>
      </w:r>
      <w:r w:rsidRPr="00EF49D7">
        <w:rPr>
          <w:color w:val="1F497D" w:themeColor="text2"/>
        </w:rPr>
        <w:t>............................</w:t>
      </w:r>
      <w:r w:rsidR="00CC6950">
        <w:rPr>
          <w:color w:val="1F497D" w:themeColor="text2"/>
        </w:rPr>
        <w:t>...............................</w:t>
      </w:r>
      <w:r w:rsidR="00B76867">
        <w:rPr>
          <w:color w:val="1F497D" w:themeColor="text2"/>
        </w:rPr>
        <w:t>5</w:t>
      </w:r>
    </w:p>
    <w:p w:rsidR="00DF7127" w:rsidRDefault="00CC6950" w:rsidP="00DF7127">
      <w:pPr>
        <w:spacing w:after="0"/>
        <w:rPr>
          <w:b/>
          <w:bCs/>
          <w:color w:val="1F497D" w:themeColor="text2"/>
        </w:rPr>
      </w:pPr>
      <w:r>
        <w:rPr>
          <w:b/>
          <w:bCs/>
          <w:color w:val="1F497D" w:themeColor="text2"/>
        </w:rPr>
        <w:t>CUSTOMER &amp; NATIONAL GRID DATA REQUIREMENTS</w:t>
      </w:r>
    </w:p>
    <w:p w:rsidR="00CC6950" w:rsidRPr="00184A11" w:rsidRDefault="00DF7127" w:rsidP="00DF7127">
      <w:pPr>
        <w:spacing w:after="0"/>
      </w:pPr>
      <w:r>
        <w:rPr>
          <w:b/>
          <w:bCs/>
          <w:color w:val="1F497D" w:themeColor="text2"/>
        </w:rPr>
        <w:t>APPENDIX 1: PROCESS FLOW</w:t>
      </w:r>
      <w:r w:rsidR="00CC6950" w:rsidRPr="00EF49D7">
        <w:rPr>
          <w:color w:val="1F497D" w:themeColor="text2"/>
        </w:rPr>
        <w:t>...............................</w:t>
      </w:r>
      <w:r>
        <w:rPr>
          <w:color w:val="1F497D" w:themeColor="text2"/>
        </w:rPr>
        <w:t>..............................................</w:t>
      </w:r>
      <w:r w:rsidR="00615009">
        <w:rPr>
          <w:color w:val="1F497D" w:themeColor="text2"/>
        </w:rPr>
        <w:t>..</w:t>
      </w:r>
      <w:r w:rsidR="00683B7D">
        <w:rPr>
          <w:color w:val="1F497D" w:themeColor="text2"/>
        </w:rPr>
        <w:t>6</w:t>
      </w:r>
      <w:r w:rsidR="00CC6950">
        <w:rPr>
          <w:color w:val="1F497D" w:themeColor="text2"/>
        </w:rPr>
        <w:t xml:space="preserve"> </w:t>
      </w:r>
    </w:p>
    <w:p w:rsidR="00DF7127" w:rsidRDefault="00DF7127" w:rsidP="00DF7127">
      <w:pPr>
        <w:spacing w:after="0"/>
        <w:rPr>
          <w:b/>
          <w:color w:val="1F497D" w:themeColor="text2"/>
        </w:rPr>
      </w:pPr>
    </w:p>
    <w:p w:rsidR="00683B7D" w:rsidRPr="00683B7D" w:rsidRDefault="00683B7D" w:rsidP="00DF7127">
      <w:pPr>
        <w:spacing w:after="0"/>
        <w:rPr>
          <w:b/>
        </w:rPr>
      </w:pPr>
      <w:r w:rsidRPr="00683B7D">
        <w:rPr>
          <w:b/>
          <w:color w:val="1F497D" w:themeColor="text2"/>
        </w:rPr>
        <w:t>APPENDIX</w:t>
      </w:r>
      <w:r>
        <w:rPr>
          <w:b/>
          <w:color w:val="1F497D" w:themeColor="text2"/>
        </w:rPr>
        <w:t xml:space="preserve"> 2: DEFINITIONS </w:t>
      </w:r>
      <w:r w:rsidRPr="00DF7127">
        <w:rPr>
          <w:color w:val="1F497D" w:themeColor="text2"/>
        </w:rPr>
        <w:t>……………………………………………………………………………</w:t>
      </w:r>
      <w:r w:rsidR="00DF7127">
        <w:rPr>
          <w:color w:val="1F497D" w:themeColor="text2"/>
        </w:rPr>
        <w:t>……</w:t>
      </w:r>
      <w:r w:rsidR="00DF7127" w:rsidRPr="00DF7127">
        <w:rPr>
          <w:color w:val="1F497D" w:themeColor="text2"/>
        </w:rPr>
        <w:t>7</w:t>
      </w:r>
      <w:r>
        <w:rPr>
          <w:b/>
          <w:color w:val="1F497D" w:themeColor="text2"/>
        </w:rPr>
        <w:t xml:space="preserve"> </w:t>
      </w:r>
    </w:p>
    <w:p w:rsidR="008C6F7D" w:rsidRDefault="008C6F7D" w:rsidP="00184A11"/>
    <w:p w:rsidR="008C6F7D" w:rsidRDefault="008C6F7D" w:rsidP="00184A11"/>
    <w:p w:rsidR="00EF49D7" w:rsidRDefault="00EF49D7" w:rsidP="00184A11"/>
    <w:p w:rsidR="00EF49D7" w:rsidRDefault="00EF49D7" w:rsidP="00184A11"/>
    <w:p w:rsidR="00EF49D7" w:rsidRDefault="00EF49D7" w:rsidP="00184A11"/>
    <w:p w:rsidR="00EF49D7" w:rsidRDefault="00EF49D7" w:rsidP="00184A11"/>
    <w:p w:rsidR="00EF49D7" w:rsidRDefault="00EF49D7" w:rsidP="00184A11"/>
    <w:p w:rsidR="00EF49D7" w:rsidRDefault="00EF49D7" w:rsidP="00184A11"/>
    <w:p w:rsidR="00EF49D7" w:rsidRDefault="00EF49D7" w:rsidP="00184A11"/>
    <w:p w:rsidR="00EF49D7" w:rsidRDefault="00EF49D7" w:rsidP="00184A11"/>
    <w:p w:rsidR="00EF49D7" w:rsidRDefault="00EF49D7" w:rsidP="00184A11"/>
    <w:p w:rsidR="00903E5E" w:rsidRDefault="00903E5E" w:rsidP="00184A11"/>
    <w:p w:rsidR="00903E5E" w:rsidRDefault="00903E5E" w:rsidP="00184A11"/>
    <w:p w:rsidR="00903E5E" w:rsidRDefault="00903E5E" w:rsidP="00184A11"/>
    <w:p w:rsidR="00903E5E" w:rsidRDefault="00903E5E" w:rsidP="00184A11"/>
    <w:p w:rsidR="00903E5E" w:rsidRDefault="00903E5E" w:rsidP="00184A11"/>
    <w:p w:rsidR="00903E5E" w:rsidRDefault="00903E5E" w:rsidP="00184A11"/>
    <w:p w:rsidR="00903E5E" w:rsidRDefault="00903E5E" w:rsidP="00184A11"/>
    <w:p w:rsidR="00903E5E" w:rsidRDefault="00903E5E" w:rsidP="00184A11"/>
    <w:p w:rsidR="00903E5E" w:rsidRDefault="00903E5E" w:rsidP="00184A11"/>
    <w:p w:rsidR="00903E5E" w:rsidRDefault="00903E5E" w:rsidP="00184A11"/>
    <w:p w:rsidR="00903E5E" w:rsidRDefault="00903E5E" w:rsidP="00184A11"/>
    <w:p w:rsidR="00184A11" w:rsidRPr="009542BE" w:rsidRDefault="00184A11" w:rsidP="00184A11">
      <w:pPr>
        <w:rPr>
          <w:b/>
          <w:bCs/>
          <w:color w:val="1F497D" w:themeColor="text2"/>
          <w:u w:val="single"/>
        </w:rPr>
      </w:pPr>
      <w:r w:rsidRPr="009542BE">
        <w:rPr>
          <w:b/>
          <w:bCs/>
          <w:color w:val="1F497D" w:themeColor="text2"/>
          <w:u w:val="single"/>
        </w:rPr>
        <w:t>GENERAL INTRODUCTION</w:t>
      </w:r>
    </w:p>
    <w:p w:rsidR="008C6F7D" w:rsidRDefault="008C6F7D" w:rsidP="008C6F7D">
      <w:pPr>
        <w:ind w:right="-148"/>
        <w:jc w:val="both"/>
      </w:pPr>
      <w:r>
        <w:t xml:space="preserve">The Planning and Advanced Reservation of Capacity Agreement (PARCA) is a bi-lateral contract that allows long term National Transmission System (NTS) Entry and/or Exit capacity to be reserved for a customer, whilst they develop their own project, ahead of the purchase of that reserved capacity.  </w:t>
      </w:r>
    </w:p>
    <w:p w:rsidR="008C6F7D" w:rsidRDefault="008C6F7D" w:rsidP="008C6F7D">
      <w:pPr>
        <w:ind w:right="-148"/>
        <w:jc w:val="both"/>
      </w:pPr>
      <w:r>
        <w:t xml:space="preserve">Initially, a customer will submit a PARCA Application to request their capacity need. Using the information provided in the PARCA Application we will determine how and when the capacity requested can be delivered and through liaison with the customer, keeps them informed on progress. If, as a result of our outputs, the customer would like us to reserve the capacity on their behalf we will do so (subject to acceptable security being provided by the customer), alternatively the customer could choose to not progress the request any further. Where the capacity has been reserved, the customer has effectively secured a right to buy that capacity at a later date; however they are not obligated to. Once reserved, this capacity is exclusive to the customer. </w:t>
      </w:r>
    </w:p>
    <w:p w:rsidR="008C6F7D" w:rsidRDefault="008C6F7D" w:rsidP="008C6F7D">
      <w:pPr>
        <w:ind w:right="-148"/>
        <w:jc w:val="both"/>
      </w:pPr>
      <w:r>
        <w:t>A customer might be a gas shipper, Distribution Network Operator or any other 3</w:t>
      </w:r>
      <w:r w:rsidRPr="00E571DD">
        <w:rPr>
          <w:vertAlign w:val="superscript"/>
        </w:rPr>
        <w:t>rd</w:t>
      </w:r>
      <w:r>
        <w:t xml:space="preserve"> party e.g. a developer may or may not be a party signed up to the Uniform Network Code (UNC). The PARCA arrangements apply to all National Transmission System (NTS) entry and exit points, NTS storage and NTS interconnectors.</w:t>
      </w:r>
    </w:p>
    <w:p w:rsidR="008C6F7D" w:rsidRDefault="008C6F7D" w:rsidP="008C6F7D">
      <w:pPr>
        <w:ind w:right="-148"/>
        <w:jc w:val="both"/>
      </w:pPr>
      <w:r>
        <w:t xml:space="preserve">A key aspect of the PARCA arrangement is that it facilitates the customer and National Grid to progress their respective projects in parallel and provides assurance that capacity has been reserved with the option to purchase the capacity at a later date. The financial commitment to the capacity (allocation of capacity) itself is only required once the customer and National Grid have sufficient certainty that their respective projects will go ahead. </w:t>
      </w:r>
    </w:p>
    <w:p w:rsidR="008C6F7D" w:rsidRDefault="008C6F7D" w:rsidP="008C6F7D">
      <w:pPr>
        <w:ind w:right="-148"/>
        <w:jc w:val="both"/>
      </w:pPr>
      <w:r>
        <w:t xml:space="preserve">The PARCA framework is split into four logical phases; Phase 0 to Phase 3. This phased structure provides the customer with natural decision points where they can choose whether they wish to proceed to the next phase of activities. Regardless of these natural decision points the PARCA process is sufficiently flexible to allow the customer to break out of the PARCA process at any time prior to full financial commitment to the capacity via capacity allocation. </w:t>
      </w:r>
    </w:p>
    <w:p w:rsidR="008C6F7D" w:rsidRPr="00184A11" w:rsidRDefault="008C6F7D" w:rsidP="00184A11"/>
    <w:p w:rsidR="008C6F7D" w:rsidRDefault="008C6F7D" w:rsidP="00184A11"/>
    <w:p w:rsidR="008C6F7D" w:rsidRDefault="008C6F7D" w:rsidP="00184A11"/>
    <w:p w:rsidR="008C6F7D" w:rsidRDefault="008C6F7D" w:rsidP="00184A11"/>
    <w:p w:rsidR="008C6F7D" w:rsidRDefault="008C6F7D" w:rsidP="00184A11"/>
    <w:p w:rsidR="008C6F7D" w:rsidRDefault="008C6F7D" w:rsidP="00184A11"/>
    <w:p w:rsidR="00742C73" w:rsidRDefault="00742C73" w:rsidP="00184A11"/>
    <w:p w:rsidR="00742C73" w:rsidRDefault="00742C73" w:rsidP="00184A11"/>
    <w:p w:rsidR="009542BE" w:rsidRPr="009542BE" w:rsidRDefault="009542BE" w:rsidP="009542BE">
      <w:pPr>
        <w:spacing w:line="240" w:lineRule="auto"/>
        <w:rPr>
          <w:b/>
          <w:bCs/>
          <w:color w:val="1F497D"/>
          <w:u w:val="single"/>
        </w:rPr>
      </w:pPr>
      <w:r w:rsidRPr="009542BE">
        <w:rPr>
          <w:b/>
          <w:bCs/>
          <w:color w:val="1F497D"/>
          <w:u w:val="single"/>
        </w:rPr>
        <w:lastRenderedPageBreak/>
        <w:t>SECTION</w:t>
      </w:r>
      <w:r w:rsidR="00184A11" w:rsidRPr="009542BE">
        <w:rPr>
          <w:b/>
          <w:bCs/>
          <w:color w:val="1F497D"/>
          <w:u w:val="single"/>
        </w:rPr>
        <w:t xml:space="preserve"> 1</w:t>
      </w:r>
      <w:r w:rsidRPr="009542BE">
        <w:rPr>
          <w:b/>
          <w:bCs/>
          <w:color w:val="1F497D"/>
          <w:u w:val="single"/>
        </w:rPr>
        <w:t>:</w:t>
      </w:r>
    </w:p>
    <w:p w:rsidR="00184A11" w:rsidRPr="009542BE" w:rsidRDefault="00184A11" w:rsidP="009542BE">
      <w:pPr>
        <w:spacing w:line="240" w:lineRule="auto"/>
        <w:rPr>
          <w:b/>
          <w:bCs/>
          <w:color w:val="1F497D"/>
          <w:u w:val="single"/>
        </w:rPr>
      </w:pPr>
      <w:r w:rsidRPr="009542BE">
        <w:rPr>
          <w:b/>
          <w:bCs/>
          <w:color w:val="1F497D"/>
          <w:u w:val="single"/>
        </w:rPr>
        <w:t>DEMONSTRATION INFORMATION POLICY</w:t>
      </w:r>
    </w:p>
    <w:p w:rsidR="008C6F7D" w:rsidRDefault="008C6F7D" w:rsidP="008C6F7D">
      <w:pPr>
        <w:pStyle w:val="wa"/>
        <w:rPr>
          <w:rStyle w:val="StyleArial105pt"/>
          <w:rFonts w:cs="Arial"/>
          <w:szCs w:val="21"/>
          <w:lang w:val="en-GB" w:eastAsia="en-GB"/>
        </w:rPr>
      </w:pPr>
    </w:p>
    <w:p w:rsidR="008C6F7D" w:rsidRPr="008C6F7D" w:rsidRDefault="008C6F7D" w:rsidP="00FC624E">
      <w:pPr>
        <w:pStyle w:val="wal"/>
        <w:numPr>
          <w:ilvl w:val="0"/>
          <w:numId w:val="4"/>
        </w:numPr>
        <w:ind w:hanging="720"/>
        <w:rPr>
          <w:rStyle w:val="StyleArial105pt"/>
          <w:rFonts w:asciiTheme="minorHAnsi" w:hAnsiTheme="minorHAnsi"/>
          <w:szCs w:val="22"/>
        </w:rPr>
      </w:pPr>
      <w:r w:rsidRPr="008C6F7D">
        <w:rPr>
          <w:rStyle w:val="StyleArial105pt"/>
          <w:rFonts w:asciiTheme="minorHAnsi" w:hAnsiTheme="minorHAnsi"/>
          <w:szCs w:val="22"/>
        </w:rPr>
        <w:t>If the Demonstration Information is not provided by a Demonstration Date specified by the National Grid then National Grid may reset the Demonstration Date</w:t>
      </w:r>
      <w:r w:rsidRPr="008C6F7D">
        <w:rPr>
          <w:rFonts w:asciiTheme="minorHAnsi" w:hAnsiTheme="minorHAnsi"/>
          <w:szCs w:val="22"/>
        </w:rPr>
        <w:t xml:space="preserve"> and </w:t>
      </w:r>
      <w:r w:rsidRPr="008C6F7D">
        <w:rPr>
          <w:rStyle w:val="StyleArial105pt"/>
          <w:rFonts w:asciiTheme="minorHAnsi" w:hAnsiTheme="minorHAnsi"/>
          <w:szCs w:val="22"/>
        </w:rPr>
        <w:t xml:space="preserve">defer the provision of the customer’s requested </w:t>
      </w:r>
      <w:r w:rsidRPr="008C6F7D">
        <w:rPr>
          <w:rFonts w:asciiTheme="minorHAnsi" w:hAnsiTheme="minorHAnsi"/>
          <w:szCs w:val="22"/>
        </w:rPr>
        <w:t>capacity.</w:t>
      </w:r>
      <w:r w:rsidRPr="008C6F7D">
        <w:rPr>
          <w:rStyle w:val="StyleArial105pt"/>
          <w:rFonts w:asciiTheme="minorHAnsi" w:hAnsiTheme="minorHAnsi"/>
          <w:szCs w:val="22"/>
        </w:rPr>
        <w:t xml:space="preserve"> National Grid NTS may advise a revised Demonstration Date</w:t>
      </w:r>
      <w:r w:rsidRPr="008C6F7D">
        <w:rPr>
          <w:rFonts w:asciiTheme="minorHAnsi" w:hAnsiTheme="minorHAnsi"/>
          <w:szCs w:val="22"/>
        </w:rPr>
        <w:t xml:space="preserve"> up to a total of [three] [3] Demonstration Dates per Project, including the original Demonstration Date</w:t>
      </w:r>
      <w:r w:rsidRPr="008C6F7D">
        <w:rPr>
          <w:rStyle w:val="StyleArial105pt"/>
          <w:rFonts w:asciiTheme="minorHAnsi" w:hAnsiTheme="minorHAnsi"/>
          <w:szCs w:val="22"/>
        </w:rPr>
        <w:t xml:space="preserve">. </w:t>
      </w:r>
    </w:p>
    <w:p w:rsidR="008C6F7D" w:rsidRPr="008C6F7D" w:rsidRDefault="008C6F7D" w:rsidP="008C6F7D">
      <w:pPr>
        <w:pStyle w:val="wal"/>
        <w:rPr>
          <w:rStyle w:val="StyleArial105pt"/>
          <w:rFonts w:asciiTheme="minorHAnsi" w:hAnsiTheme="minorHAnsi"/>
          <w:szCs w:val="22"/>
        </w:rPr>
      </w:pPr>
    </w:p>
    <w:p w:rsidR="008C6F7D" w:rsidRPr="008C6F7D" w:rsidRDefault="008C6F7D" w:rsidP="00FC624E">
      <w:pPr>
        <w:pStyle w:val="wal"/>
        <w:numPr>
          <w:ilvl w:val="0"/>
          <w:numId w:val="4"/>
        </w:numPr>
        <w:ind w:left="709" w:hanging="709"/>
        <w:rPr>
          <w:rStyle w:val="StyleArial105pt"/>
          <w:rFonts w:asciiTheme="minorHAnsi" w:hAnsiTheme="minorHAnsi"/>
          <w:szCs w:val="22"/>
        </w:rPr>
      </w:pPr>
      <w:r w:rsidRPr="008C6F7D">
        <w:rPr>
          <w:rStyle w:val="StyleArial105pt"/>
          <w:rFonts w:asciiTheme="minorHAnsi" w:hAnsiTheme="minorHAnsi"/>
          <w:szCs w:val="22"/>
        </w:rPr>
        <w:t xml:space="preserve">In the event that the customer fails to provide the Demonstration Information by the third notified Demonstration Date, unless otherwise agreed with the User/Developer, the User/Developer shall cease to hold the [reserved capacity entitlement] and National Grid shall be entitled to recover </w:t>
      </w:r>
      <w:r w:rsidRPr="00662586">
        <w:rPr>
          <w:rStyle w:val="StyleArial105pt"/>
          <w:rFonts w:asciiTheme="minorHAnsi" w:hAnsiTheme="minorHAnsi"/>
          <w:szCs w:val="22"/>
        </w:rPr>
        <w:t xml:space="preserve">[all costs (including anticipated) or the allowed revenue ‘charge’] </w:t>
      </w:r>
      <w:r w:rsidRPr="008C6F7D">
        <w:rPr>
          <w:rStyle w:val="StyleArial105pt"/>
          <w:rFonts w:asciiTheme="minorHAnsi" w:hAnsiTheme="minorHAnsi"/>
          <w:szCs w:val="22"/>
        </w:rPr>
        <w:t>and expenses incurred in performing design and planning work in respect of the Works.</w:t>
      </w:r>
    </w:p>
    <w:p w:rsidR="008C6F7D" w:rsidRPr="008C6F7D" w:rsidRDefault="008C6F7D" w:rsidP="008C6F7D">
      <w:pPr>
        <w:pStyle w:val="wal"/>
        <w:tabs>
          <w:tab w:val="left" w:pos="4920"/>
        </w:tabs>
        <w:rPr>
          <w:rStyle w:val="StyleArial105pt"/>
          <w:rFonts w:asciiTheme="minorHAnsi" w:hAnsiTheme="minorHAnsi"/>
          <w:szCs w:val="22"/>
        </w:rPr>
      </w:pPr>
    </w:p>
    <w:p w:rsidR="008C6F7D" w:rsidRPr="004C72D6" w:rsidRDefault="00FC624E" w:rsidP="00FC624E">
      <w:pPr>
        <w:pStyle w:val="wa"/>
        <w:ind w:left="709" w:hanging="709"/>
        <w:rPr>
          <w:rFonts w:asciiTheme="minorHAnsi" w:hAnsiTheme="minorHAnsi" w:cs="Arial"/>
          <w:sz w:val="22"/>
          <w:szCs w:val="22"/>
          <w:lang w:val="en-GB" w:eastAsia="en-GB"/>
        </w:rPr>
      </w:pPr>
      <w:r>
        <w:rPr>
          <w:rStyle w:val="StyleArial105pt"/>
          <w:rFonts w:asciiTheme="minorHAnsi" w:hAnsiTheme="minorHAnsi" w:cs="Arial"/>
          <w:szCs w:val="22"/>
          <w:lang w:val="en-GB" w:eastAsia="en-GB"/>
        </w:rPr>
        <w:t>3.0</w:t>
      </w:r>
      <w:r w:rsidR="003932D5">
        <w:rPr>
          <w:rStyle w:val="StyleArial105pt"/>
          <w:rFonts w:asciiTheme="minorHAnsi" w:hAnsiTheme="minorHAnsi" w:cs="Arial"/>
          <w:szCs w:val="22"/>
          <w:lang w:val="en-GB" w:eastAsia="en-GB"/>
        </w:rPr>
        <w:t xml:space="preserve">     </w:t>
      </w:r>
      <w:r w:rsidR="008C6F7D" w:rsidRPr="008C6F7D">
        <w:rPr>
          <w:rStyle w:val="StyleArial105pt"/>
          <w:rFonts w:asciiTheme="minorHAnsi" w:hAnsiTheme="minorHAnsi" w:cs="Arial"/>
          <w:szCs w:val="22"/>
          <w:lang w:val="en-GB" w:eastAsia="en-GB"/>
        </w:rPr>
        <w:t xml:space="preserve">The Demonstration Information to be provided by the customer to National Grid will </w:t>
      </w:r>
      <w:proofErr w:type="gramStart"/>
      <w:r w:rsidR="008C6F7D" w:rsidRPr="008C6F7D">
        <w:rPr>
          <w:rFonts w:asciiTheme="minorHAnsi" w:hAnsiTheme="minorHAnsi" w:cs="Arial"/>
          <w:bCs/>
          <w:sz w:val="22"/>
          <w:szCs w:val="22"/>
          <w:lang w:val="en-GB" w:eastAsia="en-GB"/>
        </w:rPr>
        <w:t xml:space="preserve">be </w:t>
      </w:r>
      <w:r>
        <w:rPr>
          <w:rFonts w:asciiTheme="minorHAnsi" w:hAnsiTheme="minorHAnsi" w:cs="Arial"/>
          <w:bCs/>
          <w:sz w:val="22"/>
          <w:szCs w:val="22"/>
          <w:lang w:val="en-GB" w:eastAsia="en-GB"/>
        </w:rPr>
        <w:t xml:space="preserve"> </w:t>
      </w:r>
      <w:r w:rsidR="008C6F7D" w:rsidRPr="008C6F7D">
        <w:rPr>
          <w:rFonts w:asciiTheme="minorHAnsi" w:hAnsiTheme="minorHAnsi" w:cs="Arial"/>
          <w:bCs/>
          <w:sz w:val="22"/>
          <w:szCs w:val="22"/>
          <w:lang w:val="en-GB" w:eastAsia="en-GB"/>
        </w:rPr>
        <w:t>specified</w:t>
      </w:r>
      <w:proofErr w:type="gramEnd"/>
      <w:r w:rsidR="008C6F7D" w:rsidRPr="008C6F7D">
        <w:rPr>
          <w:rFonts w:asciiTheme="minorHAnsi" w:hAnsiTheme="minorHAnsi" w:cs="Arial"/>
          <w:bCs/>
          <w:sz w:val="22"/>
          <w:szCs w:val="22"/>
          <w:lang w:val="en-GB" w:eastAsia="en-GB"/>
        </w:rPr>
        <w:t xml:space="preserve"> by National Grid NTS</w:t>
      </w:r>
    </w:p>
    <w:p w:rsidR="004C72D6" w:rsidRDefault="004C72D6" w:rsidP="004C72D6">
      <w:pPr>
        <w:pStyle w:val="ListParagraph"/>
        <w:rPr>
          <w:rStyle w:val="StyleArial105pt"/>
          <w:rFonts w:asciiTheme="minorHAnsi" w:hAnsiTheme="minorHAnsi" w:cs="Arial"/>
          <w:szCs w:val="22"/>
        </w:rPr>
      </w:pPr>
    </w:p>
    <w:p w:rsidR="00FC624E" w:rsidRDefault="00FC624E" w:rsidP="00FC624E">
      <w:pPr>
        <w:pStyle w:val="wa"/>
        <w:rPr>
          <w:rStyle w:val="StyleArial105pt"/>
          <w:rFonts w:asciiTheme="minorHAnsi" w:hAnsiTheme="minorHAnsi" w:cs="Arial"/>
          <w:szCs w:val="22"/>
          <w:lang w:val="en-GB" w:eastAsia="en-GB"/>
        </w:rPr>
      </w:pPr>
      <w:r>
        <w:rPr>
          <w:rStyle w:val="StyleArial105pt"/>
          <w:rFonts w:asciiTheme="minorHAnsi" w:hAnsiTheme="minorHAnsi" w:cs="Arial"/>
          <w:szCs w:val="22"/>
          <w:lang w:val="en-GB" w:eastAsia="en-GB"/>
        </w:rPr>
        <w:t>4.0</w:t>
      </w:r>
      <w:r w:rsidR="003932D5">
        <w:rPr>
          <w:rStyle w:val="StyleArial105pt"/>
          <w:rFonts w:asciiTheme="minorHAnsi" w:hAnsiTheme="minorHAnsi" w:cs="Arial"/>
          <w:szCs w:val="22"/>
          <w:lang w:val="en-GB" w:eastAsia="en-GB"/>
        </w:rPr>
        <w:t xml:space="preserve">        </w:t>
      </w:r>
      <w:r w:rsidR="008C6F7D" w:rsidRPr="008C6F7D">
        <w:rPr>
          <w:rStyle w:val="StyleArial105pt"/>
          <w:rFonts w:asciiTheme="minorHAnsi" w:hAnsiTheme="minorHAnsi" w:cs="Arial"/>
          <w:szCs w:val="22"/>
          <w:lang w:val="en-GB" w:eastAsia="en-GB"/>
        </w:rPr>
        <w:t xml:space="preserve">The Demonstration Information to be provided by National Grid NTS to the customer will be </w:t>
      </w:r>
    </w:p>
    <w:p w:rsidR="008C6F7D" w:rsidRPr="008C6F7D" w:rsidRDefault="008C6F7D" w:rsidP="00FC624E">
      <w:pPr>
        <w:pStyle w:val="wa"/>
        <w:ind w:left="720"/>
        <w:rPr>
          <w:rStyle w:val="StyleArial105pt"/>
          <w:rFonts w:asciiTheme="minorHAnsi" w:hAnsiTheme="minorHAnsi" w:cs="Arial"/>
          <w:szCs w:val="22"/>
          <w:lang w:val="en-GB" w:eastAsia="en-GB"/>
        </w:rPr>
      </w:pPr>
      <w:proofErr w:type="gramStart"/>
      <w:r w:rsidRPr="008C6F7D">
        <w:rPr>
          <w:rStyle w:val="StyleArial105pt"/>
          <w:rFonts w:asciiTheme="minorHAnsi" w:hAnsiTheme="minorHAnsi" w:cs="Arial"/>
          <w:szCs w:val="22"/>
          <w:lang w:val="en-GB" w:eastAsia="en-GB"/>
        </w:rPr>
        <w:t>agreed</w:t>
      </w:r>
      <w:proofErr w:type="gramEnd"/>
      <w:r w:rsidRPr="008C6F7D">
        <w:rPr>
          <w:rStyle w:val="StyleArial105pt"/>
          <w:rFonts w:asciiTheme="minorHAnsi" w:hAnsiTheme="minorHAnsi" w:cs="Arial"/>
          <w:szCs w:val="22"/>
          <w:lang w:val="en-GB" w:eastAsia="en-GB"/>
        </w:rPr>
        <w:t xml:space="preserve"> by both parties and may include, but not limited to, those items listed in </w:t>
      </w:r>
      <w:r w:rsidR="004C72D6">
        <w:rPr>
          <w:rStyle w:val="StyleArial105pt"/>
          <w:rFonts w:asciiTheme="minorHAnsi" w:hAnsiTheme="minorHAnsi" w:cs="Arial"/>
          <w:szCs w:val="22"/>
          <w:lang w:val="en-GB" w:eastAsia="en-GB"/>
        </w:rPr>
        <w:t>Appendices 1 &amp; 2</w:t>
      </w:r>
      <w:r w:rsidRPr="008C6F7D">
        <w:rPr>
          <w:rStyle w:val="StyleArial105pt"/>
          <w:rFonts w:asciiTheme="minorHAnsi" w:hAnsiTheme="minorHAnsi" w:cs="Arial"/>
          <w:szCs w:val="22"/>
          <w:lang w:val="en-GB" w:eastAsia="en-GB"/>
        </w:rPr>
        <w:t>.</w:t>
      </w:r>
    </w:p>
    <w:p w:rsidR="008C6F7D" w:rsidRPr="008C6F7D" w:rsidRDefault="008C6F7D" w:rsidP="008C6F7D">
      <w:pPr>
        <w:pStyle w:val="wa"/>
        <w:ind w:left="357"/>
        <w:rPr>
          <w:rStyle w:val="StyleArial105pt"/>
          <w:rFonts w:asciiTheme="minorHAnsi" w:hAnsiTheme="minorHAnsi" w:cs="Arial"/>
          <w:szCs w:val="22"/>
          <w:lang w:val="en-GB" w:eastAsia="en-GB"/>
        </w:rPr>
      </w:pPr>
    </w:p>
    <w:p w:rsidR="008C6F7D" w:rsidRPr="008C6F7D" w:rsidRDefault="004C72D6" w:rsidP="00FC624E">
      <w:pPr>
        <w:pStyle w:val="wa"/>
        <w:ind w:left="720"/>
        <w:rPr>
          <w:rStyle w:val="StyleArial105pt"/>
          <w:rFonts w:asciiTheme="minorHAnsi" w:hAnsiTheme="minorHAnsi" w:cs="Arial"/>
          <w:szCs w:val="22"/>
          <w:lang w:val="en-GB" w:eastAsia="en-GB"/>
        </w:rPr>
      </w:pPr>
      <w:r>
        <w:rPr>
          <w:rStyle w:val="StyleArial105pt"/>
          <w:rFonts w:asciiTheme="minorHAnsi" w:hAnsiTheme="minorHAnsi" w:cs="Arial"/>
          <w:szCs w:val="22"/>
          <w:lang w:val="en-GB" w:eastAsia="en-GB"/>
        </w:rPr>
        <w:t>These</w:t>
      </w:r>
      <w:r w:rsidR="008C6F7D" w:rsidRPr="008C6F7D">
        <w:rPr>
          <w:rStyle w:val="StyleArial105pt"/>
          <w:rFonts w:asciiTheme="minorHAnsi" w:hAnsiTheme="minorHAnsi" w:cs="Arial"/>
          <w:szCs w:val="22"/>
          <w:lang w:val="en-GB" w:eastAsia="en-GB"/>
        </w:rPr>
        <w:t xml:space="preserve"> will be updated from time to time as required to reflect changes in legislation and commercial arrangements.</w:t>
      </w:r>
    </w:p>
    <w:p w:rsidR="008C6F7D" w:rsidRPr="008C6F7D" w:rsidRDefault="008C6F7D" w:rsidP="008C6F7D">
      <w:pPr>
        <w:pStyle w:val="wa"/>
        <w:ind w:left="357"/>
        <w:rPr>
          <w:rStyle w:val="StyleArial105pt"/>
          <w:rFonts w:asciiTheme="minorHAnsi" w:hAnsiTheme="minorHAnsi" w:cs="Arial"/>
          <w:szCs w:val="22"/>
          <w:lang w:val="en-GB" w:eastAsia="en-GB"/>
        </w:rPr>
      </w:pPr>
      <w:r w:rsidRPr="008C6F7D">
        <w:rPr>
          <w:rStyle w:val="StyleArial105pt"/>
          <w:rFonts w:asciiTheme="minorHAnsi" w:hAnsiTheme="minorHAnsi" w:cs="Arial"/>
          <w:szCs w:val="22"/>
          <w:lang w:val="en-GB" w:eastAsia="en-GB"/>
        </w:rPr>
        <w:t xml:space="preserve">  </w:t>
      </w:r>
    </w:p>
    <w:p w:rsidR="008C6F7D" w:rsidRPr="008C6F7D" w:rsidRDefault="008C6F7D" w:rsidP="00FC624E">
      <w:pPr>
        <w:pStyle w:val="wa"/>
        <w:numPr>
          <w:ilvl w:val="0"/>
          <w:numId w:val="5"/>
        </w:numPr>
        <w:ind w:hanging="717"/>
        <w:rPr>
          <w:rStyle w:val="StyleArial105pt"/>
          <w:rFonts w:asciiTheme="minorHAnsi" w:hAnsiTheme="minorHAnsi" w:cs="Arial"/>
          <w:szCs w:val="22"/>
          <w:lang w:val="en-GB" w:eastAsia="en-GB"/>
        </w:rPr>
      </w:pPr>
      <w:r w:rsidRPr="008C6F7D">
        <w:rPr>
          <w:rStyle w:val="StyleArial105pt"/>
          <w:rFonts w:asciiTheme="minorHAnsi" w:hAnsiTheme="minorHAnsi" w:cs="Arial"/>
          <w:szCs w:val="22"/>
          <w:lang w:val="en-GB" w:eastAsia="en-GB"/>
        </w:rPr>
        <w:t>The Demonstration Information to be provided will be agreed between the customer and National Grid at the time of application in the first instance or at the time of notification of [subsequent Demonstration Dates], as appropriate.</w:t>
      </w:r>
    </w:p>
    <w:p w:rsidR="008C6F7D" w:rsidRPr="008C6F7D" w:rsidRDefault="008C6F7D" w:rsidP="008C6F7D">
      <w:pPr>
        <w:pStyle w:val="wa"/>
        <w:rPr>
          <w:rStyle w:val="StyleArial105pt"/>
          <w:rFonts w:asciiTheme="minorHAnsi" w:hAnsiTheme="minorHAnsi" w:cs="Arial"/>
          <w:szCs w:val="22"/>
          <w:lang w:val="en-GB" w:eastAsia="en-GB"/>
        </w:rPr>
      </w:pPr>
    </w:p>
    <w:p w:rsidR="008C6F7D" w:rsidRPr="008C6F7D" w:rsidRDefault="00FC624E" w:rsidP="00FC624E">
      <w:pPr>
        <w:pStyle w:val="wa"/>
        <w:tabs>
          <w:tab w:val="left" w:pos="709"/>
        </w:tabs>
        <w:ind w:left="705" w:hanging="705"/>
        <w:rPr>
          <w:rStyle w:val="StyleArial105pt"/>
          <w:rFonts w:asciiTheme="minorHAnsi" w:hAnsiTheme="minorHAnsi" w:cs="Arial"/>
          <w:szCs w:val="22"/>
          <w:lang w:val="en-GB" w:eastAsia="en-GB"/>
        </w:rPr>
      </w:pPr>
      <w:r>
        <w:rPr>
          <w:rStyle w:val="StyleArial105pt"/>
          <w:rFonts w:asciiTheme="minorHAnsi" w:hAnsiTheme="minorHAnsi" w:cs="Arial"/>
          <w:szCs w:val="22"/>
          <w:lang w:val="en-GB" w:eastAsia="en-GB"/>
        </w:rPr>
        <w:t>6.0</w:t>
      </w:r>
      <w:r w:rsidR="003932D5">
        <w:rPr>
          <w:rStyle w:val="StyleArial105pt"/>
          <w:rFonts w:asciiTheme="minorHAnsi" w:hAnsiTheme="minorHAnsi" w:cs="Arial"/>
          <w:szCs w:val="22"/>
          <w:lang w:val="en-GB" w:eastAsia="en-GB"/>
        </w:rPr>
        <w:t xml:space="preserve">    </w:t>
      </w:r>
      <w:r>
        <w:rPr>
          <w:rStyle w:val="StyleArial105pt"/>
          <w:rFonts w:asciiTheme="minorHAnsi" w:hAnsiTheme="minorHAnsi" w:cs="Arial"/>
          <w:szCs w:val="22"/>
          <w:lang w:val="en-GB" w:eastAsia="en-GB"/>
        </w:rPr>
        <w:t xml:space="preserve">  </w:t>
      </w:r>
      <w:r>
        <w:rPr>
          <w:rStyle w:val="StyleArial105pt"/>
          <w:rFonts w:asciiTheme="minorHAnsi" w:hAnsiTheme="minorHAnsi" w:cs="Arial"/>
          <w:szCs w:val="22"/>
          <w:lang w:val="en-GB" w:eastAsia="en-GB"/>
        </w:rPr>
        <w:tab/>
      </w:r>
      <w:r w:rsidR="008C6F7D" w:rsidRPr="008C6F7D">
        <w:rPr>
          <w:rStyle w:val="StyleArial105pt"/>
          <w:rFonts w:asciiTheme="minorHAnsi" w:hAnsiTheme="minorHAnsi" w:cs="Arial"/>
          <w:szCs w:val="22"/>
          <w:lang w:val="en-GB" w:eastAsia="en-GB"/>
        </w:rPr>
        <w:t>Agreement on the Demonstration Information to be provided will be assisted by the customer and National Grid NTS sharing their key project milestone dates.</w:t>
      </w:r>
    </w:p>
    <w:p w:rsidR="008C6F7D" w:rsidRPr="008C6F7D" w:rsidRDefault="008C6F7D" w:rsidP="008C6F7D">
      <w:pPr>
        <w:pStyle w:val="wa"/>
        <w:rPr>
          <w:rStyle w:val="StyleArial105pt"/>
          <w:rFonts w:asciiTheme="minorHAnsi" w:hAnsiTheme="minorHAnsi" w:cs="Arial"/>
          <w:szCs w:val="22"/>
          <w:lang w:val="en-GB" w:eastAsia="en-GB"/>
        </w:rPr>
      </w:pPr>
    </w:p>
    <w:p w:rsidR="008C6F7D" w:rsidRPr="008C6F7D" w:rsidRDefault="00FC624E" w:rsidP="00FC624E">
      <w:pPr>
        <w:pStyle w:val="wa"/>
        <w:ind w:left="705" w:hanging="705"/>
        <w:rPr>
          <w:rStyle w:val="StyleArial105pt"/>
          <w:rFonts w:asciiTheme="minorHAnsi" w:hAnsiTheme="minorHAnsi" w:cs="Arial"/>
          <w:szCs w:val="22"/>
          <w:lang w:val="en-GB" w:eastAsia="en-GB"/>
        </w:rPr>
      </w:pPr>
      <w:r>
        <w:rPr>
          <w:rStyle w:val="StyleArial105pt"/>
          <w:rFonts w:asciiTheme="minorHAnsi" w:hAnsiTheme="minorHAnsi" w:cs="Arial"/>
          <w:szCs w:val="22"/>
          <w:lang w:val="en-GB" w:eastAsia="en-GB"/>
        </w:rPr>
        <w:t>7.0</w:t>
      </w:r>
      <w:r w:rsidR="003932D5">
        <w:rPr>
          <w:rStyle w:val="StyleArial105pt"/>
          <w:rFonts w:asciiTheme="minorHAnsi" w:hAnsiTheme="minorHAnsi" w:cs="Arial"/>
          <w:szCs w:val="22"/>
          <w:lang w:val="en-GB" w:eastAsia="en-GB"/>
        </w:rPr>
        <w:t xml:space="preserve">        </w:t>
      </w:r>
      <w:r w:rsidR="007352AF">
        <w:rPr>
          <w:rStyle w:val="StyleArial105pt"/>
          <w:rFonts w:asciiTheme="minorHAnsi" w:hAnsiTheme="minorHAnsi" w:cs="Arial"/>
          <w:szCs w:val="22"/>
          <w:lang w:val="en-GB" w:eastAsia="en-GB"/>
        </w:rPr>
        <w:t xml:space="preserve"> </w:t>
      </w:r>
      <w:r w:rsidR="008C6F7D" w:rsidRPr="008C6F7D">
        <w:rPr>
          <w:rStyle w:val="StyleArial105pt"/>
          <w:rFonts w:asciiTheme="minorHAnsi" w:hAnsiTheme="minorHAnsi" w:cs="Arial"/>
          <w:szCs w:val="22"/>
          <w:lang w:val="en-GB" w:eastAsia="en-GB"/>
        </w:rPr>
        <w:t xml:space="preserve">The Demonstration Information to be provided may be amended through a written request </w:t>
      </w:r>
      <w:r w:rsidR="007352AF">
        <w:rPr>
          <w:rStyle w:val="StyleArial105pt"/>
          <w:rFonts w:asciiTheme="minorHAnsi" w:hAnsiTheme="minorHAnsi" w:cs="Arial"/>
          <w:szCs w:val="22"/>
          <w:lang w:val="en-GB" w:eastAsia="en-GB"/>
        </w:rPr>
        <w:t xml:space="preserve">   </w:t>
      </w:r>
      <w:r>
        <w:rPr>
          <w:rStyle w:val="StyleArial105pt"/>
          <w:rFonts w:asciiTheme="minorHAnsi" w:hAnsiTheme="minorHAnsi" w:cs="Arial"/>
          <w:szCs w:val="22"/>
          <w:lang w:val="en-GB" w:eastAsia="en-GB"/>
        </w:rPr>
        <w:t>f</w:t>
      </w:r>
      <w:r w:rsidR="008C6F7D" w:rsidRPr="008C6F7D">
        <w:rPr>
          <w:rStyle w:val="StyleArial105pt"/>
          <w:rFonts w:asciiTheme="minorHAnsi" w:hAnsiTheme="minorHAnsi" w:cs="Arial"/>
          <w:szCs w:val="22"/>
          <w:lang w:val="en-GB" w:eastAsia="en-GB"/>
        </w:rPr>
        <w:t>rom the customer to National Grid NTS (and vice versa).</w:t>
      </w:r>
    </w:p>
    <w:p w:rsidR="00EB3319" w:rsidRDefault="00EB3319" w:rsidP="00184A11">
      <w:pPr>
        <w:rPr>
          <w:b/>
        </w:rPr>
      </w:pPr>
    </w:p>
    <w:p w:rsidR="007352AF" w:rsidRDefault="007352AF" w:rsidP="00184A11">
      <w:pPr>
        <w:rPr>
          <w:b/>
        </w:rPr>
      </w:pPr>
    </w:p>
    <w:p w:rsidR="007352AF" w:rsidRDefault="007352AF" w:rsidP="00184A11">
      <w:pPr>
        <w:rPr>
          <w:b/>
        </w:rPr>
      </w:pPr>
    </w:p>
    <w:p w:rsidR="007352AF" w:rsidRDefault="007352AF" w:rsidP="00184A11">
      <w:pPr>
        <w:rPr>
          <w:b/>
        </w:rPr>
      </w:pPr>
    </w:p>
    <w:p w:rsidR="007352AF" w:rsidRDefault="007352AF" w:rsidP="00184A11">
      <w:pPr>
        <w:rPr>
          <w:b/>
        </w:rPr>
      </w:pPr>
    </w:p>
    <w:p w:rsidR="007352AF" w:rsidRDefault="007352AF" w:rsidP="00184A11">
      <w:pPr>
        <w:rPr>
          <w:b/>
        </w:rPr>
      </w:pPr>
    </w:p>
    <w:p w:rsidR="007352AF" w:rsidRDefault="007352AF" w:rsidP="00184A11">
      <w:pPr>
        <w:rPr>
          <w:b/>
        </w:rPr>
      </w:pPr>
    </w:p>
    <w:p w:rsidR="007352AF" w:rsidRDefault="007352AF" w:rsidP="00184A11">
      <w:pPr>
        <w:rPr>
          <w:b/>
        </w:rPr>
      </w:pPr>
    </w:p>
    <w:p w:rsidR="007352AF" w:rsidRDefault="007352AF" w:rsidP="00184A11">
      <w:pPr>
        <w:rPr>
          <w:b/>
        </w:rPr>
      </w:pPr>
    </w:p>
    <w:p w:rsidR="00524920" w:rsidRDefault="00CC3E87" w:rsidP="00184A11">
      <w:pPr>
        <w:rPr>
          <w:b/>
          <w:bCs/>
          <w:color w:val="1F497D" w:themeColor="text2"/>
          <w:u w:val="single"/>
        </w:rPr>
      </w:pPr>
      <w:r>
        <w:rPr>
          <w:b/>
          <w:bCs/>
          <w:color w:val="1F497D" w:themeColor="text2"/>
          <w:u w:val="single"/>
        </w:rPr>
        <w:lastRenderedPageBreak/>
        <w:t>APPENDIX 1</w:t>
      </w:r>
    </w:p>
    <w:p w:rsidR="00CC3E87" w:rsidRDefault="00CC3E87" w:rsidP="00184A11">
      <w:pPr>
        <w:rPr>
          <w:b/>
          <w:bCs/>
          <w:color w:val="1F497D" w:themeColor="text2"/>
          <w:u w:val="single"/>
        </w:rPr>
      </w:pPr>
      <w:r>
        <w:rPr>
          <w:b/>
          <w:bCs/>
          <w:color w:val="1F497D" w:themeColor="text2"/>
          <w:u w:val="single"/>
        </w:rPr>
        <w:t>PROCESS FLOW</w:t>
      </w:r>
    </w:p>
    <w:p w:rsidR="00524920" w:rsidRDefault="00CC3E87" w:rsidP="00184A11">
      <w:pPr>
        <w:rPr>
          <w:b/>
          <w:bCs/>
          <w:color w:val="1F497D" w:themeColor="text2"/>
          <w:u w:val="single"/>
        </w:rPr>
      </w:pPr>
      <w:r>
        <w:rPr>
          <w:rStyle w:val="StyleArial105pt"/>
          <w:rFonts w:asciiTheme="minorHAnsi" w:hAnsiTheme="minorHAnsi" w:cs="Arial"/>
          <w:lang w:eastAsia="en-GB"/>
        </w:rPr>
        <w:t>See A3 page for Process Flow</w:t>
      </w:r>
    </w:p>
    <w:p w:rsidR="00524920" w:rsidRDefault="00524920" w:rsidP="00184A11">
      <w:pPr>
        <w:rPr>
          <w:b/>
          <w:bCs/>
          <w:color w:val="1F497D" w:themeColor="text2"/>
          <w:u w:val="single"/>
        </w:rPr>
      </w:pPr>
    </w:p>
    <w:p w:rsidR="00524920" w:rsidRDefault="00524920" w:rsidP="00184A11">
      <w:pPr>
        <w:rPr>
          <w:b/>
          <w:bCs/>
          <w:color w:val="1F497D" w:themeColor="text2"/>
          <w:u w:val="single"/>
        </w:rPr>
      </w:pPr>
    </w:p>
    <w:p w:rsidR="00524920" w:rsidRDefault="00524920" w:rsidP="00184A11">
      <w:pPr>
        <w:rPr>
          <w:b/>
          <w:bCs/>
          <w:color w:val="1F497D" w:themeColor="text2"/>
          <w:u w:val="single"/>
        </w:rPr>
      </w:pPr>
    </w:p>
    <w:p w:rsidR="00524920" w:rsidRDefault="00524920" w:rsidP="00184A11">
      <w:pPr>
        <w:rPr>
          <w:b/>
          <w:bCs/>
          <w:color w:val="1F497D" w:themeColor="text2"/>
          <w:u w:val="single"/>
        </w:rPr>
      </w:pPr>
    </w:p>
    <w:p w:rsidR="00524920" w:rsidRDefault="00524920" w:rsidP="00184A11">
      <w:pPr>
        <w:rPr>
          <w:b/>
          <w:bCs/>
          <w:color w:val="1F497D" w:themeColor="text2"/>
          <w:u w:val="single"/>
        </w:rPr>
      </w:pPr>
    </w:p>
    <w:p w:rsidR="00524920" w:rsidRDefault="00524920" w:rsidP="00184A11">
      <w:pPr>
        <w:rPr>
          <w:b/>
          <w:bCs/>
          <w:color w:val="1F497D" w:themeColor="text2"/>
          <w:u w:val="single"/>
        </w:rPr>
      </w:pPr>
    </w:p>
    <w:p w:rsidR="00524920" w:rsidRDefault="00524920" w:rsidP="00184A11">
      <w:pPr>
        <w:rPr>
          <w:b/>
          <w:bCs/>
          <w:color w:val="1F497D" w:themeColor="text2"/>
          <w:u w:val="single"/>
        </w:rPr>
      </w:pPr>
    </w:p>
    <w:p w:rsidR="00524920" w:rsidRDefault="00524920" w:rsidP="00184A11">
      <w:pPr>
        <w:rPr>
          <w:b/>
          <w:bCs/>
          <w:color w:val="1F497D" w:themeColor="text2"/>
          <w:u w:val="single"/>
        </w:rPr>
      </w:pPr>
    </w:p>
    <w:p w:rsidR="00524920" w:rsidRDefault="00524920" w:rsidP="00184A11">
      <w:pPr>
        <w:rPr>
          <w:b/>
          <w:bCs/>
          <w:color w:val="1F497D" w:themeColor="text2"/>
          <w:u w:val="single"/>
        </w:rPr>
      </w:pPr>
    </w:p>
    <w:p w:rsidR="00524920" w:rsidRDefault="00524920" w:rsidP="00184A11">
      <w:pPr>
        <w:rPr>
          <w:b/>
          <w:bCs/>
          <w:color w:val="1F497D" w:themeColor="text2"/>
          <w:u w:val="single"/>
        </w:rPr>
      </w:pPr>
    </w:p>
    <w:p w:rsidR="00524920" w:rsidRDefault="00524920" w:rsidP="00184A11">
      <w:pPr>
        <w:rPr>
          <w:b/>
          <w:bCs/>
          <w:color w:val="1F497D" w:themeColor="text2"/>
          <w:u w:val="single"/>
        </w:rPr>
      </w:pPr>
    </w:p>
    <w:p w:rsidR="00524920" w:rsidRDefault="00524920" w:rsidP="00184A11">
      <w:pPr>
        <w:rPr>
          <w:b/>
          <w:bCs/>
          <w:color w:val="1F497D" w:themeColor="text2"/>
          <w:u w:val="single"/>
        </w:rPr>
      </w:pPr>
    </w:p>
    <w:p w:rsidR="00524920" w:rsidRDefault="00524920" w:rsidP="00184A11">
      <w:pPr>
        <w:rPr>
          <w:b/>
          <w:bCs/>
          <w:color w:val="1F497D" w:themeColor="text2"/>
          <w:u w:val="single"/>
        </w:rPr>
      </w:pPr>
    </w:p>
    <w:p w:rsidR="00524920" w:rsidRDefault="00524920" w:rsidP="00184A11">
      <w:pPr>
        <w:rPr>
          <w:b/>
          <w:bCs/>
          <w:color w:val="1F497D" w:themeColor="text2"/>
          <w:u w:val="single"/>
        </w:rPr>
      </w:pPr>
    </w:p>
    <w:p w:rsidR="00524920" w:rsidRDefault="00524920" w:rsidP="00184A11">
      <w:pPr>
        <w:rPr>
          <w:b/>
          <w:bCs/>
          <w:color w:val="1F497D" w:themeColor="text2"/>
          <w:u w:val="single"/>
        </w:rPr>
      </w:pPr>
    </w:p>
    <w:p w:rsidR="00524920" w:rsidRDefault="00524920" w:rsidP="00184A11">
      <w:pPr>
        <w:rPr>
          <w:b/>
          <w:bCs/>
          <w:color w:val="1F497D" w:themeColor="text2"/>
          <w:u w:val="single"/>
        </w:rPr>
      </w:pPr>
    </w:p>
    <w:p w:rsidR="00524920" w:rsidRDefault="00524920" w:rsidP="00184A11">
      <w:pPr>
        <w:rPr>
          <w:b/>
          <w:bCs/>
          <w:color w:val="1F497D" w:themeColor="text2"/>
          <w:u w:val="single"/>
        </w:rPr>
      </w:pPr>
    </w:p>
    <w:p w:rsidR="00524920" w:rsidRDefault="00524920" w:rsidP="00184A11">
      <w:pPr>
        <w:rPr>
          <w:b/>
          <w:bCs/>
          <w:color w:val="1F497D" w:themeColor="text2"/>
          <w:u w:val="single"/>
        </w:rPr>
      </w:pPr>
    </w:p>
    <w:p w:rsidR="00524920" w:rsidRDefault="00524920" w:rsidP="00184A11">
      <w:pPr>
        <w:rPr>
          <w:b/>
          <w:bCs/>
          <w:color w:val="1F497D" w:themeColor="text2"/>
          <w:u w:val="single"/>
        </w:rPr>
      </w:pPr>
    </w:p>
    <w:p w:rsidR="00524920" w:rsidRDefault="00524920" w:rsidP="00184A11">
      <w:pPr>
        <w:rPr>
          <w:b/>
          <w:bCs/>
          <w:color w:val="1F497D" w:themeColor="text2"/>
          <w:u w:val="single"/>
        </w:rPr>
      </w:pPr>
    </w:p>
    <w:p w:rsidR="00524920" w:rsidRDefault="00524920" w:rsidP="00184A11">
      <w:pPr>
        <w:rPr>
          <w:b/>
          <w:bCs/>
          <w:color w:val="1F497D" w:themeColor="text2"/>
          <w:u w:val="single"/>
        </w:rPr>
      </w:pPr>
    </w:p>
    <w:p w:rsidR="00524920" w:rsidRDefault="00524920" w:rsidP="00184A11">
      <w:pPr>
        <w:rPr>
          <w:b/>
          <w:bCs/>
          <w:color w:val="1F497D" w:themeColor="text2"/>
          <w:u w:val="single"/>
        </w:rPr>
      </w:pPr>
    </w:p>
    <w:p w:rsidR="00524920" w:rsidRDefault="00524920" w:rsidP="00184A11">
      <w:pPr>
        <w:rPr>
          <w:b/>
          <w:bCs/>
          <w:color w:val="1F497D" w:themeColor="text2"/>
          <w:u w:val="single"/>
        </w:rPr>
      </w:pPr>
    </w:p>
    <w:p w:rsidR="00524920" w:rsidRDefault="00524920" w:rsidP="00184A11">
      <w:pPr>
        <w:rPr>
          <w:b/>
          <w:bCs/>
          <w:color w:val="1F497D" w:themeColor="text2"/>
          <w:u w:val="single"/>
        </w:rPr>
      </w:pPr>
    </w:p>
    <w:p w:rsidR="00524920" w:rsidRDefault="00524920" w:rsidP="00184A11">
      <w:pPr>
        <w:rPr>
          <w:b/>
          <w:bCs/>
          <w:color w:val="1F497D" w:themeColor="text2"/>
          <w:u w:val="single"/>
        </w:rPr>
      </w:pPr>
    </w:p>
    <w:p w:rsidR="00524920" w:rsidRDefault="00524920" w:rsidP="00184A11">
      <w:pPr>
        <w:rPr>
          <w:b/>
          <w:bCs/>
          <w:color w:val="1F497D" w:themeColor="text2"/>
          <w:u w:val="single"/>
        </w:rPr>
      </w:pPr>
    </w:p>
    <w:p w:rsidR="003932D5" w:rsidRPr="003932D5" w:rsidRDefault="00912AA7" w:rsidP="00184A11">
      <w:pPr>
        <w:rPr>
          <w:b/>
          <w:bCs/>
          <w:color w:val="1F497D" w:themeColor="text2"/>
          <w:u w:val="single"/>
        </w:rPr>
      </w:pPr>
      <w:r>
        <w:rPr>
          <w:b/>
          <w:bCs/>
          <w:color w:val="1F497D" w:themeColor="text2"/>
          <w:u w:val="single"/>
        </w:rPr>
        <w:t>A</w:t>
      </w:r>
      <w:r w:rsidR="003932D5" w:rsidRPr="003932D5">
        <w:rPr>
          <w:b/>
          <w:bCs/>
          <w:color w:val="1F497D" w:themeColor="text2"/>
          <w:u w:val="single"/>
        </w:rPr>
        <w:t>PPENDIX 2</w:t>
      </w:r>
    </w:p>
    <w:p w:rsidR="00184A11" w:rsidRPr="003932D5" w:rsidRDefault="00184A11" w:rsidP="00184A11">
      <w:pPr>
        <w:rPr>
          <w:b/>
          <w:bCs/>
          <w:color w:val="1F497D" w:themeColor="text2"/>
          <w:u w:val="single"/>
        </w:rPr>
      </w:pPr>
      <w:r w:rsidRPr="003932D5">
        <w:rPr>
          <w:b/>
          <w:bCs/>
          <w:color w:val="1F497D" w:themeColor="text2"/>
          <w:u w:val="single"/>
        </w:rPr>
        <w:t>DEFINITIONS</w:t>
      </w:r>
    </w:p>
    <w:p w:rsidR="00184A11" w:rsidRPr="00184A11" w:rsidRDefault="00662586" w:rsidP="00184A11">
      <w:r>
        <w:rPr>
          <w:b/>
          <w:bCs/>
        </w:rPr>
        <w:t>P</w:t>
      </w:r>
      <w:r w:rsidR="00184A11" w:rsidRPr="00184A11">
        <w:rPr>
          <w:b/>
          <w:bCs/>
        </w:rPr>
        <w:t xml:space="preserve">ARCA </w:t>
      </w:r>
      <w:r w:rsidR="00184A11" w:rsidRPr="00184A11">
        <w:t xml:space="preserve">means </w:t>
      </w:r>
      <w:r w:rsidRPr="00662586">
        <w:rPr>
          <w:b/>
        </w:rPr>
        <w:t xml:space="preserve">Planning and </w:t>
      </w:r>
      <w:r w:rsidR="00184A11" w:rsidRPr="00184A11">
        <w:rPr>
          <w:b/>
          <w:bCs/>
        </w:rPr>
        <w:t xml:space="preserve">Advanced Reservation of Capacity Agreement </w:t>
      </w:r>
      <w:r w:rsidR="00184A11" w:rsidRPr="00184A11">
        <w:t>and is an</w:t>
      </w:r>
    </w:p>
    <w:p w:rsidR="00184A11" w:rsidRPr="00184A11" w:rsidRDefault="00184A11" w:rsidP="00184A11">
      <w:proofErr w:type="gramStart"/>
      <w:r w:rsidRPr="00184A11">
        <w:t>agreement</w:t>
      </w:r>
      <w:proofErr w:type="gramEnd"/>
      <w:r w:rsidRPr="00184A11">
        <w:t xml:space="preserve"> between National Grid and a </w:t>
      </w:r>
      <w:r w:rsidR="00662586">
        <w:t>Customer</w:t>
      </w:r>
      <w:r w:rsidRPr="00184A11">
        <w:t>, e.g. in respect of a new NTS Exit</w:t>
      </w:r>
    </w:p>
    <w:p w:rsidR="00184A11" w:rsidRPr="00184A11" w:rsidRDefault="00184A11" w:rsidP="00184A11">
      <w:proofErr w:type="gramStart"/>
      <w:r w:rsidRPr="00184A11">
        <w:t>Point or expansion of an existing NTS Exit Point.</w:t>
      </w:r>
      <w:proofErr w:type="gramEnd"/>
    </w:p>
    <w:p w:rsidR="00184A11" w:rsidRPr="00184A11" w:rsidRDefault="00184A11" w:rsidP="00184A11">
      <w:r w:rsidRPr="00184A11">
        <w:rPr>
          <w:b/>
          <w:bCs/>
        </w:rPr>
        <w:t xml:space="preserve">Demonstration Date </w:t>
      </w:r>
      <w:r w:rsidRPr="00184A11">
        <w:t>is the latest date by which the Demonstration Information is to</w:t>
      </w:r>
    </w:p>
    <w:p w:rsidR="00184A11" w:rsidRPr="00184A11" w:rsidRDefault="00184A11" w:rsidP="00184A11">
      <w:proofErr w:type="gramStart"/>
      <w:r w:rsidRPr="00184A11">
        <w:t>be</w:t>
      </w:r>
      <w:proofErr w:type="gramEnd"/>
      <w:r w:rsidRPr="00184A11">
        <w:t xml:space="preserve"> provided to National Grid.</w:t>
      </w:r>
    </w:p>
    <w:p w:rsidR="00184A11" w:rsidRPr="00184A11" w:rsidRDefault="00184A11" w:rsidP="00B76867">
      <w:r w:rsidRPr="00184A11">
        <w:rPr>
          <w:b/>
          <w:bCs/>
        </w:rPr>
        <w:t xml:space="preserve">Demonstration Information </w:t>
      </w:r>
      <w:r w:rsidR="00B76867">
        <w:t>means demonstration information the Reservation Party is required to provide to NGG, prior to and in the course of NGG undertaking and completing of the Phase 2 PARCA works.</w:t>
      </w:r>
    </w:p>
    <w:p w:rsidR="00184A11" w:rsidRPr="00184A11" w:rsidRDefault="00184A11" w:rsidP="00184A11">
      <w:r w:rsidRPr="00184A11">
        <w:rPr>
          <w:b/>
          <w:bCs/>
        </w:rPr>
        <w:t xml:space="preserve">Developer </w:t>
      </w:r>
      <w:r w:rsidRPr="00184A11">
        <w:t>means a non-UNC signatory, i.e. a party other than a Shipper or a</w:t>
      </w:r>
    </w:p>
    <w:p w:rsidR="00184A11" w:rsidRPr="00184A11" w:rsidRDefault="00184A11" w:rsidP="00184A11">
      <w:r w:rsidRPr="00184A11">
        <w:t>Distribution Network Operator, which is developing a Project. In UNC this is referred</w:t>
      </w:r>
    </w:p>
    <w:p w:rsidR="00184A11" w:rsidRPr="00184A11" w:rsidRDefault="00DF7127" w:rsidP="00184A11">
      <w:proofErr w:type="gramStart"/>
      <w:r>
        <w:t>t</w:t>
      </w:r>
      <w:r w:rsidR="00B76867">
        <w:t>o</w:t>
      </w:r>
      <w:proofErr w:type="gramEnd"/>
      <w:r w:rsidR="00B76867">
        <w:t xml:space="preserve"> </w:t>
      </w:r>
      <w:r w:rsidR="00184A11" w:rsidRPr="00184A11">
        <w:t>as a Reservation Party.</w:t>
      </w:r>
    </w:p>
    <w:p w:rsidR="00184A11" w:rsidRPr="00184A11" w:rsidRDefault="00184A11" w:rsidP="00184A11">
      <w:r w:rsidRPr="00184A11">
        <w:rPr>
          <w:b/>
          <w:bCs/>
        </w:rPr>
        <w:t xml:space="preserve">Enduring Annual NTS Exit (Flat) Capacity </w:t>
      </w:r>
      <w:r w:rsidRPr="00184A11">
        <w:t>is NTS Exit (Flat) Capacity which may</w:t>
      </w:r>
    </w:p>
    <w:p w:rsidR="00184A11" w:rsidRPr="00184A11" w:rsidRDefault="00184A11" w:rsidP="00184A11">
      <w:proofErr w:type="gramStart"/>
      <w:r w:rsidRPr="00184A11">
        <w:t>be</w:t>
      </w:r>
      <w:proofErr w:type="gramEnd"/>
      <w:r w:rsidRPr="00184A11">
        <w:t xml:space="preserve"> applied for and registered as held (in a given amount) by a User (or reserved by a</w:t>
      </w:r>
    </w:p>
    <w:p w:rsidR="00184A11" w:rsidRPr="00184A11" w:rsidRDefault="00184A11" w:rsidP="00184A11">
      <w:proofErr w:type="gramStart"/>
      <w:r w:rsidRPr="00184A11">
        <w:t>Developer) for each Day in a Gas Year on an evergreen basis.</w:t>
      </w:r>
      <w:proofErr w:type="gramEnd"/>
    </w:p>
    <w:p w:rsidR="00184A11" w:rsidRPr="00184A11" w:rsidRDefault="00184A11" w:rsidP="00184A11">
      <w:r w:rsidRPr="00184A11">
        <w:rPr>
          <w:b/>
          <w:bCs/>
        </w:rPr>
        <w:t xml:space="preserve">Enduring Exit Period </w:t>
      </w:r>
      <w:r w:rsidRPr="00184A11">
        <w:t>means the period from 1 October 2012, being the date from</w:t>
      </w:r>
    </w:p>
    <w:p w:rsidR="00184A11" w:rsidRPr="00184A11" w:rsidRDefault="00184A11" w:rsidP="00184A11">
      <w:proofErr w:type="gramStart"/>
      <w:r w:rsidRPr="00184A11">
        <w:t>which</w:t>
      </w:r>
      <w:proofErr w:type="gramEnd"/>
      <w:r w:rsidRPr="00184A11">
        <w:t xml:space="preserve"> exit capacity will be released in accordance with revised “enduring”</w:t>
      </w:r>
    </w:p>
    <w:p w:rsidR="00184A11" w:rsidRPr="00184A11" w:rsidRDefault="00184A11" w:rsidP="00184A11">
      <w:proofErr w:type="gramStart"/>
      <w:r w:rsidRPr="00184A11">
        <w:t>arrangements</w:t>
      </w:r>
      <w:proofErr w:type="gramEnd"/>
      <w:r w:rsidRPr="00184A11">
        <w:t>.</w:t>
      </w:r>
    </w:p>
    <w:p w:rsidR="00184A11" w:rsidRPr="00184A11" w:rsidRDefault="00184A11" w:rsidP="00184A11">
      <w:r w:rsidRPr="00184A11">
        <w:rPr>
          <w:b/>
          <w:bCs/>
        </w:rPr>
        <w:t xml:space="preserve">NTS Exit Point </w:t>
      </w:r>
      <w:r w:rsidRPr="00184A11">
        <w:t>means NTS System Exit Point and/or NTS/LDZ Offtake.</w:t>
      </w:r>
    </w:p>
    <w:p w:rsidR="00184A11" w:rsidRPr="00184A11" w:rsidRDefault="00184A11" w:rsidP="00184A11">
      <w:r w:rsidRPr="00184A11">
        <w:rPr>
          <w:b/>
          <w:bCs/>
        </w:rPr>
        <w:t xml:space="preserve">NTS/LDZ Offtakes </w:t>
      </w:r>
      <w:r w:rsidRPr="00184A11">
        <w:t>are connections from the NTS to a Distribution Network operated</w:t>
      </w:r>
    </w:p>
    <w:p w:rsidR="00184A11" w:rsidRPr="00184A11" w:rsidRDefault="00184A11" w:rsidP="00184A11">
      <w:proofErr w:type="gramStart"/>
      <w:r w:rsidRPr="00184A11">
        <w:t>by</w:t>
      </w:r>
      <w:proofErr w:type="gramEnd"/>
      <w:r w:rsidRPr="00184A11">
        <w:t xml:space="preserve"> a Distribution Network Operator (a “DNO”).</w:t>
      </w:r>
    </w:p>
    <w:p w:rsidR="00184A11" w:rsidRPr="00184A11" w:rsidRDefault="00184A11" w:rsidP="00184A11">
      <w:r w:rsidRPr="00184A11">
        <w:rPr>
          <w:b/>
          <w:bCs/>
        </w:rPr>
        <w:t xml:space="preserve">Project </w:t>
      </w:r>
      <w:r w:rsidRPr="00184A11">
        <w:t>means a project that will require the offtake of gas from the NTS at a new or</w:t>
      </w:r>
    </w:p>
    <w:p w:rsidR="00184A11" w:rsidRPr="00184A11" w:rsidRDefault="00184A11" w:rsidP="00184A11">
      <w:proofErr w:type="gramStart"/>
      <w:r w:rsidRPr="00184A11">
        <w:t>existing</w:t>
      </w:r>
      <w:proofErr w:type="gramEnd"/>
      <w:r w:rsidRPr="00184A11">
        <w:t xml:space="preserve"> NTS Exit Point.</w:t>
      </w:r>
    </w:p>
    <w:p w:rsidR="00184A11" w:rsidRPr="00184A11" w:rsidRDefault="00184A11" w:rsidP="00184A11">
      <w:r w:rsidRPr="00184A11">
        <w:rPr>
          <w:b/>
          <w:bCs/>
        </w:rPr>
        <w:t xml:space="preserve">Registration Date </w:t>
      </w:r>
      <w:r w:rsidRPr="00184A11">
        <w:t>is the date specified in an offer which the User/Developer has</w:t>
      </w:r>
    </w:p>
    <w:p w:rsidR="00184A11" w:rsidRPr="00184A11" w:rsidRDefault="00184A11" w:rsidP="00184A11">
      <w:proofErr w:type="gramStart"/>
      <w:r w:rsidRPr="00184A11">
        <w:t>accepted</w:t>
      </w:r>
      <w:proofErr w:type="gramEnd"/>
      <w:r w:rsidRPr="00184A11">
        <w:t xml:space="preserve"> from which the User/Developer will be registered as holding Enduring</w:t>
      </w:r>
    </w:p>
    <w:p w:rsidR="00184A11" w:rsidRPr="00184A11" w:rsidRDefault="00184A11" w:rsidP="00184A11">
      <w:proofErr w:type="gramStart"/>
      <w:r w:rsidRPr="00184A11">
        <w:lastRenderedPageBreak/>
        <w:t>Annual NTS Exit (Flat) Capacity.</w:t>
      </w:r>
      <w:proofErr w:type="gramEnd"/>
    </w:p>
    <w:p w:rsidR="00184A11" w:rsidRPr="00184A11" w:rsidRDefault="00184A11" w:rsidP="00184A11">
      <w:pPr>
        <w:rPr>
          <w:b/>
          <w:bCs/>
        </w:rPr>
      </w:pPr>
      <w:r w:rsidRPr="00184A11">
        <w:rPr>
          <w:b/>
          <w:bCs/>
        </w:rPr>
        <w:t xml:space="preserve">User </w:t>
      </w:r>
      <w:r w:rsidRPr="00184A11">
        <w:t xml:space="preserve">means </w:t>
      </w:r>
      <w:r w:rsidRPr="00184A11">
        <w:rPr>
          <w:b/>
          <w:bCs/>
        </w:rPr>
        <w:t>Shipper User or DNO User.</w:t>
      </w:r>
    </w:p>
    <w:p w:rsidR="00184A11" w:rsidRPr="00184A11" w:rsidRDefault="00184A11" w:rsidP="00184A11">
      <w:r w:rsidRPr="00184A11">
        <w:rPr>
          <w:b/>
          <w:bCs/>
        </w:rPr>
        <w:t xml:space="preserve">Works </w:t>
      </w:r>
      <w:r w:rsidRPr="00184A11">
        <w:t>means works, in relation to reinforcement of the NTS, in order to make</w:t>
      </w:r>
    </w:p>
    <w:p w:rsidR="00184A11" w:rsidRPr="00184A11" w:rsidRDefault="00184A11" w:rsidP="00184A11">
      <w:proofErr w:type="gramStart"/>
      <w:r w:rsidRPr="00184A11">
        <w:t>available</w:t>
      </w:r>
      <w:proofErr w:type="gramEnd"/>
      <w:r w:rsidRPr="00184A11">
        <w:t xml:space="preserve"> the Enduring Annual NTS Exit (Flat) Capacity applied for pursuant to an</w:t>
      </w:r>
    </w:p>
    <w:p w:rsidR="00184A11" w:rsidRPr="00184A11" w:rsidRDefault="00184A11" w:rsidP="00184A11">
      <w:proofErr w:type="gramStart"/>
      <w:r w:rsidRPr="00184A11">
        <w:t>application</w:t>
      </w:r>
      <w:proofErr w:type="gramEnd"/>
      <w:r w:rsidRPr="00184A11">
        <w:t>. This is distinct from works required to upgrade NTS connection</w:t>
      </w:r>
    </w:p>
    <w:p w:rsidR="00184A11" w:rsidRDefault="00184A11" w:rsidP="00184A11">
      <w:proofErr w:type="gramStart"/>
      <w:r w:rsidRPr="00184A11">
        <w:t>apparatus</w:t>
      </w:r>
      <w:proofErr w:type="gramEnd"/>
      <w:r w:rsidRPr="00184A11">
        <w:t xml:space="preserve">. </w:t>
      </w:r>
    </w:p>
    <w:sectPr w:rsidR="00184A11" w:rsidSect="00EB33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7DC" w:rsidRDefault="009C57DC" w:rsidP="00CC6950">
      <w:pPr>
        <w:spacing w:after="0" w:line="240" w:lineRule="auto"/>
      </w:pPr>
      <w:r>
        <w:separator/>
      </w:r>
    </w:p>
  </w:endnote>
  <w:endnote w:type="continuationSeparator" w:id="0">
    <w:p w:rsidR="009C57DC" w:rsidRDefault="009C57DC" w:rsidP="00CC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7DC" w:rsidRDefault="009C57DC" w:rsidP="00CC6950">
      <w:pPr>
        <w:spacing w:after="0" w:line="240" w:lineRule="auto"/>
      </w:pPr>
      <w:r>
        <w:separator/>
      </w:r>
    </w:p>
  </w:footnote>
  <w:footnote w:type="continuationSeparator" w:id="0">
    <w:p w:rsidR="009C57DC" w:rsidRDefault="009C57DC" w:rsidP="00CC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ED4"/>
    <w:multiLevelType w:val="hybridMultilevel"/>
    <w:tmpl w:val="CF34AD98"/>
    <w:lvl w:ilvl="0" w:tplc="B34881B4">
      <w:start w:val="1"/>
      <w:numFmt w:val="decimal"/>
      <w:lvlText w:val="%1."/>
      <w:lvlJc w:val="left"/>
      <w:pPr>
        <w:tabs>
          <w:tab w:val="num" w:pos="360"/>
        </w:tabs>
        <w:ind w:left="360" w:hanging="360"/>
      </w:pPr>
      <w:rPr>
        <w:sz w:val="22"/>
        <w:szCs w:val="22"/>
      </w:rPr>
    </w:lvl>
    <w:lvl w:ilvl="1" w:tplc="C436C374">
      <w:start w:val="1"/>
      <w:numFmt w:val="lowerLetter"/>
      <w:lvlText w:val="%2)"/>
      <w:lvlJc w:val="left"/>
      <w:pPr>
        <w:tabs>
          <w:tab w:val="num" w:pos="1080"/>
        </w:tabs>
        <w:ind w:left="1080" w:hanging="360"/>
      </w:pPr>
      <w:rPr>
        <w:rFonts w:hint="default"/>
        <w:sz w:val="22"/>
        <w:szCs w:val="22"/>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2830B99"/>
    <w:multiLevelType w:val="hybridMultilevel"/>
    <w:tmpl w:val="1C0EB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E1180D"/>
    <w:multiLevelType w:val="multilevel"/>
    <w:tmpl w:val="D0784AAA"/>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
    <w:nsid w:val="3E2974C5"/>
    <w:multiLevelType w:val="multilevel"/>
    <w:tmpl w:val="1644994E"/>
    <w:lvl w:ilvl="0">
      <w:start w:val="5"/>
      <w:numFmt w:val="decimal"/>
      <w:lvlText w:val="%1.0"/>
      <w:lvlJc w:val="left"/>
      <w:pPr>
        <w:ind w:left="717"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517" w:hanging="720"/>
      </w:pPr>
      <w:rPr>
        <w:rFonts w:hint="default"/>
      </w:rPr>
    </w:lvl>
    <w:lvl w:ilvl="3">
      <w:start w:val="1"/>
      <w:numFmt w:val="decimal"/>
      <w:lvlText w:val="%1.%2.%3.%4"/>
      <w:lvlJc w:val="left"/>
      <w:pPr>
        <w:ind w:left="3237" w:hanging="720"/>
      </w:pPr>
      <w:rPr>
        <w:rFonts w:hint="default"/>
      </w:rPr>
    </w:lvl>
    <w:lvl w:ilvl="4">
      <w:start w:val="1"/>
      <w:numFmt w:val="decimal"/>
      <w:lvlText w:val="%1.%2.%3.%4.%5"/>
      <w:lvlJc w:val="left"/>
      <w:pPr>
        <w:ind w:left="4317" w:hanging="1080"/>
      </w:pPr>
      <w:rPr>
        <w:rFonts w:hint="default"/>
      </w:rPr>
    </w:lvl>
    <w:lvl w:ilvl="5">
      <w:start w:val="1"/>
      <w:numFmt w:val="decimal"/>
      <w:lvlText w:val="%1.%2.%3.%4.%5.%6"/>
      <w:lvlJc w:val="left"/>
      <w:pPr>
        <w:ind w:left="5037" w:hanging="1080"/>
      </w:pPr>
      <w:rPr>
        <w:rFonts w:hint="default"/>
      </w:rPr>
    </w:lvl>
    <w:lvl w:ilvl="6">
      <w:start w:val="1"/>
      <w:numFmt w:val="decimal"/>
      <w:lvlText w:val="%1.%2.%3.%4.%5.%6.%7"/>
      <w:lvlJc w:val="left"/>
      <w:pPr>
        <w:ind w:left="6117" w:hanging="1440"/>
      </w:pPr>
      <w:rPr>
        <w:rFonts w:hint="default"/>
      </w:rPr>
    </w:lvl>
    <w:lvl w:ilvl="7">
      <w:start w:val="1"/>
      <w:numFmt w:val="decimal"/>
      <w:lvlText w:val="%1.%2.%3.%4.%5.%6.%7.%8"/>
      <w:lvlJc w:val="left"/>
      <w:pPr>
        <w:ind w:left="6837" w:hanging="1440"/>
      </w:pPr>
      <w:rPr>
        <w:rFonts w:hint="default"/>
      </w:rPr>
    </w:lvl>
    <w:lvl w:ilvl="8">
      <w:start w:val="1"/>
      <w:numFmt w:val="decimal"/>
      <w:lvlText w:val="%1.%2.%3.%4.%5.%6.%7.%8.%9"/>
      <w:lvlJc w:val="left"/>
      <w:pPr>
        <w:ind w:left="7557" w:hanging="1440"/>
      </w:pPr>
      <w:rPr>
        <w:rFonts w:hint="default"/>
      </w:rPr>
    </w:lvl>
  </w:abstractNum>
  <w:abstractNum w:abstractNumId="4">
    <w:nsid w:val="5E5A633F"/>
    <w:multiLevelType w:val="hybridMultilevel"/>
    <w:tmpl w:val="892E3482"/>
    <w:lvl w:ilvl="0" w:tplc="BDEED13A">
      <w:start w:val="1"/>
      <w:numFmt w:val="bullet"/>
      <w:lvlText w:val="•"/>
      <w:lvlJc w:val="left"/>
      <w:pPr>
        <w:tabs>
          <w:tab w:val="num" w:pos="720"/>
        </w:tabs>
        <w:ind w:left="720" w:hanging="360"/>
      </w:pPr>
      <w:rPr>
        <w:rFonts w:ascii="Arial" w:hAnsi="Arial" w:hint="default"/>
      </w:rPr>
    </w:lvl>
    <w:lvl w:ilvl="1" w:tplc="3DE297B4" w:tentative="1">
      <w:start w:val="1"/>
      <w:numFmt w:val="bullet"/>
      <w:lvlText w:val="•"/>
      <w:lvlJc w:val="left"/>
      <w:pPr>
        <w:tabs>
          <w:tab w:val="num" w:pos="1440"/>
        </w:tabs>
        <w:ind w:left="1440" w:hanging="360"/>
      </w:pPr>
      <w:rPr>
        <w:rFonts w:ascii="Arial" w:hAnsi="Arial" w:hint="default"/>
      </w:rPr>
    </w:lvl>
    <w:lvl w:ilvl="2" w:tplc="6B1A34D6" w:tentative="1">
      <w:start w:val="1"/>
      <w:numFmt w:val="bullet"/>
      <w:lvlText w:val="•"/>
      <w:lvlJc w:val="left"/>
      <w:pPr>
        <w:tabs>
          <w:tab w:val="num" w:pos="2160"/>
        </w:tabs>
        <w:ind w:left="2160" w:hanging="360"/>
      </w:pPr>
      <w:rPr>
        <w:rFonts w:ascii="Arial" w:hAnsi="Arial" w:hint="default"/>
      </w:rPr>
    </w:lvl>
    <w:lvl w:ilvl="3" w:tplc="539E5C5A" w:tentative="1">
      <w:start w:val="1"/>
      <w:numFmt w:val="bullet"/>
      <w:lvlText w:val="•"/>
      <w:lvlJc w:val="left"/>
      <w:pPr>
        <w:tabs>
          <w:tab w:val="num" w:pos="2880"/>
        </w:tabs>
        <w:ind w:left="2880" w:hanging="360"/>
      </w:pPr>
      <w:rPr>
        <w:rFonts w:ascii="Arial" w:hAnsi="Arial" w:hint="default"/>
      </w:rPr>
    </w:lvl>
    <w:lvl w:ilvl="4" w:tplc="86B2CC08" w:tentative="1">
      <w:start w:val="1"/>
      <w:numFmt w:val="bullet"/>
      <w:lvlText w:val="•"/>
      <w:lvlJc w:val="left"/>
      <w:pPr>
        <w:tabs>
          <w:tab w:val="num" w:pos="3600"/>
        </w:tabs>
        <w:ind w:left="3600" w:hanging="360"/>
      </w:pPr>
      <w:rPr>
        <w:rFonts w:ascii="Arial" w:hAnsi="Arial" w:hint="default"/>
      </w:rPr>
    </w:lvl>
    <w:lvl w:ilvl="5" w:tplc="030A1008" w:tentative="1">
      <w:start w:val="1"/>
      <w:numFmt w:val="bullet"/>
      <w:lvlText w:val="•"/>
      <w:lvlJc w:val="left"/>
      <w:pPr>
        <w:tabs>
          <w:tab w:val="num" w:pos="4320"/>
        </w:tabs>
        <w:ind w:left="4320" w:hanging="360"/>
      </w:pPr>
      <w:rPr>
        <w:rFonts w:ascii="Arial" w:hAnsi="Arial" w:hint="default"/>
      </w:rPr>
    </w:lvl>
    <w:lvl w:ilvl="6" w:tplc="5CDE4CF8" w:tentative="1">
      <w:start w:val="1"/>
      <w:numFmt w:val="bullet"/>
      <w:lvlText w:val="•"/>
      <w:lvlJc w:val="left"/>
      <w:pPr>
        <w:tabs>
          <w:tab w:val="num" w:pos="5040"/>
        </w:tabs>
        <w:ind w:left="5040" w:hanging="360"/>
      </w:pPr>
      <w:rPr>
        <w:rFonts w:ascii="Arial" w:hAnsi="Arial" w:hint="default"/>
      </w:rPr>
    </w:lvl>
    <w:lvl w:ilvl="7" w:tplc="4260B37E" w:tentative="1">
      <w:start w:val="1"/>
      <w:numFmt w:val="bullet"/>
      <w:lvlText w:val="•"/>
      <w:lvlJc w:val="left"/>
      <w:pPr>
        <w:tabs>
          <w:tab w:val="num" w:pos="5760"/>
        </w:tabs>
        <w:ind w:left="5760" w:hanging="360"/>
      </w:pPr>
      <w:rPr>
        <w:rFonts w:ascii="Arial" w:hAnsi="Arial" w:hint="default"/>
      </w:rPr>
    </w:lvl>
    <w:lvl w:ilvl="8" w:tplc="67FA5FE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11"/>
    <w:rsid w:val="000F53FA"/>
    <w:rsid w:val="00140F0D"/>
    <w:rsid w:val="00173905"/>
    <w:rsid w:val="00184A11"/>
    <w:rsid w:val="001A50C6"/>
    <w:rsid w:val="001E7D74"/>
    <w:rsid w:val="002A4102"/>
    <w:rsid w:val="003932D5"/>
    <w:rsid w:val="00407527"/>
    <w:rsid w:val="0043661F"/>
    <w:rsid w:val="0048241B"/>
    <w:rsid w:val="004C72D6"/>
    <w:rsid w:val="00524920"/>
    <w:rsid w:val="00550548"/>
    <w:rsid w:val="005A0ACB"/>
    <w:rsid w:val="005B72ED"/>
    <w:rsid w:val="005C7608"/>
    <w:rsid w:val="00615009"/>
    <w:rsid w:val="00662586"/>
    <w:rsid w:val="0067099A"/>
    <w:rsid w:val="00683B7D"/>
    <w:rsid w:val="0070575B"/>
    <w:rsid w:val="007119B3"/>
    <w:rsid w:val="007352AF"/>
    <w:rsid w:val="00742C73"/>
    <w:rsid w:val="00756658"/>
    <w:rsid w:val="0076341A"/>
    <w:rsid w:val="00815B27"/>
    <w:rsid w:val="00860DD6"/>
    <w:rsid w:val="008927E9"/>
    <w:rsid w:val="008C6F7D"/>
    <w:rsid w:val="008D4343"/>
    <w:rsid w:val="00903E5E"/>
    <w:rsid w:val="00912AA7"/>
    <w:rsid w:val="00913ABF"/>
    <w:rsid w:val="00943623"/>
    <w:rsid w:val="009542BE"/>
    <w:rsid w:val="00983680"/>
    <w:rsid w:val="009C57DC"/>
    <w:rsid w:val="00A3519B"/>
    <w:rsid w:val="00AA1CC0"/>
    <w:rsid w:val="00B76867"/>
    <w:rsid w:val="00C55088"/>
    <w:rsid w:val="00C90BD8"/>
    <w:rsid w:val="00CC3E87"/>
    <w:rsid w:val="00CC6950"/>
    <w:rsid w:val="00CF502B"/>
    <w:rsid w:val="00D217DA"/>
    <w:rsid w:val="00DC742C"/>
    <w:rsid w:val="00DF7127"/>
    <w:rsid w:val="00E3533A"/>
    <w:rsid w:val="00E8413E"/>
    <w:rsid w:val="00EB3319"/>
    <w:rsid w:val="00EC3AB4"/>
    <w:rsid w:val="00EF49D7"/>
    <w:rsid w:val="00F1479C"/>
    <w:rsid w:val="00F1609A"/>
    <w:rsid w:val="00F55E6C"/>
    <w:rsid w:val="00FC6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DD6"/>
    <w:rPr>
      <w:rFonts w:ascii="Tahoma" w:hAnsi="Tahoma" w:cs="Tahoma"/>
      <w:sz w:val="16"/>
      <w:szCs w:val="16"/>
    </w:rPr>
  </w:style>
  <w:style w:type="paragraph" w:styleId="NormalWeb">
    <w:name w:val="Normal (Web)"/>
    <w:basedOn w:val="Normal"/>
    <w:uiPriority w:val="99"/>
    <w:unhideWhenUsed/>
    <w:rsid w:val="005A0AC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5A0ACB"/>
    <w:pPr>
      <w:spacing w:after="0" w:line="240" w:lineRule="auto"/>
      <w:ind w:left="720"/>
      <w:contextualSpacing/>
    </w:pPr>
    <w:rPr>
      <w:rFonts w:ascii="Times New Roman" w:eastAsiaTheme="minorEastAsia" w:hAnsi="Times New Roman" w:cs="Times New Roman"/>
      <w:sz w:val="24"/>
      <w:szCs w:val="24"/>
      <w:lang w:eastAsia="en-GB"/>
    </w:rPr>
  </w:style>
  <w:style w:type="paragraph" w:customStyle="1" w:styleId="wa">
    <w:name w:val="wa"/>
    <w:basedOn w:val="Normal"/>
    <w:link w:val="waChar"/>
    <w:rsid w:val="008C6F7D"/>
    <w:pPr>
      <w:spacing w:after="0" w:line="240" w:lineRule="auto"/>
      <w:jc w:val="both"/>
    </w:pPr>
    <w:rPr>
      <w:rFonts w:ascii="Arial" w:eastAsia="Times New Roman" w:hAnsi="Arial" w:cs="Times New Roman"/>
      <w:sz w:val="21"/>
      <w:szCs w:val="24"/>
      <w:lang w:val="en-US"/>
    </w:rPr>
  </w:style>
  <w:style w:type="character" w:customStyle="1" w:styleId="waChar">
    <w:name w:val="wa Char"/>
    <w:basedOn w:val="DefaultParagraphFont"/>
    <w:link w:val="wa"/>
    <w:rsid w:val="008C6F7D"/>
    <w:rPr>
      <w:rFonts w:ascii="Arial" w:eastAsia="Times New Roman" w:hAnsi="Arial" w:cs="Times New Roman"/>
      <w:sz w:val="21"/>
      <w:szCs w:val="24"/>
      <w:lang w:val="en-US"/>
    </w:rPr>
  </w:style>
  <w:style w:type="character" w:customStyle="1" w:styleId="StyleArial105pt">
    <w:name w:val="Style Arial 10.5 pt"/>
    <w:basedOn w:val="DefaultParagraphFont"/>
    <w:rsid w:val="008C6F7D"/>
    <w:rPr>
      <w:rFonts w:ascii="Arial" w:hAnsi="Arial"/>
      <w:sz w:val="22"/>
    </w:rPr>
  </w:style>
  <w:style w:type="paragraph" w:customStyle="1" w:styleId="wal">
    <w:name w:val="wal"/>
    <w:basedOn w:val="Normal"/>
    <w:link w:val="walChar"/>
    <w:rsid w:val="008C6F7D"/>
    <w:pPr>
      <w:spacing w:after="0" w:line="240" w:lineRule="auto"/>
      <w:jc w:val="both"/>
    </w:pPr>
    <w:rPr>
      <w:rFonts w:ascii="Arial" w:eastAsia="Times New Roman" w:hAnsi="Arial" w:cs="Arial"/>
      <w:szCs w:val="21"/>
      <w:lang w:eastAsia="en-GB"/>
    </w:rPr>
  </w:style>
  <w:style w:type="character" w:customStyle="1" w:styleId="walChar">
    <w:name w:val="wal Char"/>
    <w:basedOn w:val="DefaultParagraphFont"/>
    <w:link w:val="wal"/>
    <w:rsid w:val="008C6F7D"/>
    <w:rPr>
      <w:rFonts w:ascii="Arial" w:eastAsia="Times New Roman" w:hAnsi="Arial" w:cs="Arial"/>
      <w:szCs w:val="21"/>
      <w:lang w:eastAsia="en-GB"/>
    </w:rPr>
  </w:style>
  <w:style w:type="character" w:customStyle="1" w:styleId="A4">
    <w:name w:val="A4"/>
    <w:uiPriority w:val="99"/>
    <w:rsid w:val="00662586"/>
    <w:rPr>
      <w:rFonts w:cs="Helvetica 55 Roman"/>
      <w:b/>
      <w:bCs/>
      <w:color w:val="000000"/>
      <w:sz w:val="32"/>
      <w:szCs w:val="32"/>
    </w:rPr>
  </w:style>
  <w:style w:type="character" w:styleId="Hyperlink">
    <w:name w:val="Hyperlink"/>
    <w:basedOn w:val="DefaultParagraphFont"/>
    <w:uiPriority w:val="99"/>
    <w:unhideWhenUsed/>
    <w:rsid w:val="00662586"/>
    <w:rPr>
      <w:color w:val="0000FF" w:themeColor="hyperlink"/>
      <w:u w:val="single"/>
    </w:rPr>
  </w:style>
  <w:style w:type="paragraph" w:styleId="Header">
    <w:name w:val="header"/>
    <w:basedOn w:val="Normal"/>
    <w:link w:val="HeaderChar"/>
    <w:uiPriority w:val="99"/>
    <w:unhideWhenUsed/>
    <w:rsid w:val="00CC69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950"/>
  </w:style>
  <w:style w:type="paragraph" w:styleId="Footer">
    <w:name w:val="footer"/>
    <w:basedOn w:val="Normal"/>
    <w:link w:val="FooterChar"/>
    <w:uiPriority w:val="99"/>
    <w:unhideWhenUsed/>
    <w:rsid w:val="00CC69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9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DD6"/>
    <w:rPr>
      <w:rFonts w:ascii="Tahoma" w:hAnsi="Tahoma" w:cs="Tahoma"/>
      <w:sz w:val="16"/>
      <w:szCs w:val="16"/>
    </w:rPr>
  </w:style>
  <w:style w:type="paragraph" w:styleId="NormalWeb">
    <w:name w:val="Normal (Web)"/>
    <w:basedOn w:val="Normal"/>
    <w:uiPriority w:val="99"/>
    <w:unhideWhenUsed/>
    <w:rsid w:val="005A0AC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5A0ACB"/>
    <w:pPr>
      <w:spacing w:after="0" w:line="240" w:lineRule="auto"/>
      <w:ind w:left="720"/>
      <w:contextualSpacing/>
    </w:pPr>
    <w:rPr>
      <w:rFonts w:ascii="Times New Roman" w:eastAsiaTheme="minorEastAsia" w:hAnsi="Times New Roman" w:cs="Times New Roman"/>
      <w:sz w:val="24"/>
      <w:szCs w:val="24"/>
      <w:lang w:eastAsia="en-GB"/>
    </w:rPr>
  </w:style>
  <w:style w:type="paragraph" w:customStyle="1" w:styleId="wa">
    <w:name w:val="wa"/>
    <w:basedOn w:val="Normal"/>
    <w:link w:val="waChar"/>
    <w:rsid w:val="008C6F7D"/>
    <w:pPr>
      <w:spacing w:after="0" w:line="240" w:lineRule="auto"/>
      <w:jc w:val="both"/>
    </w:pPr>
    <w:rPr>
      <w:rFonts w:ascii="Arial" w:eastAsia="Times New Roman" w:hAnsi="Arial" w:cs="Times New Roman"/>
      <w:sz w:val="21"/>
      <w:szCs w:val="24"/>
      <w:lang w:val="en-US"/>
    </w:rPr>
  </w:style>
  <w:style w:type="character" w:customStyle="1" w:styleId="waChar">
    <w:name w:val="wa Char"/>
    <w:basedOn w:val="DefaultParagraphFont"/>
    <w:link w:val="wa"/>
    <w:rsid w:val="008C6F7D"/>
    <w:rPr>
      <w:rFonts w:ascii="Arial" w:eastAsia="Times New Roman" w:hAnsi="Arial" w:cs="Times New Roman"/>
      <w:sz w:val="21"/>
      <w:szCs w:val="24"/>
      <w:lang w:val="en-US"/>
    </w:rPr>
  </w:style>
  <w:style w:type="character" w:customStyle="1" w:styleId="StyleArial105pt">
    <w:name w:val="Style Arial 10.5 pt"/>
    <w:basedOn w:val="DefaultParagraphFont"/>
    <w:rsid w:val="008C6F7D"/>
    <w:rPr>
      <w:rFonts w:ascii="Arial" w:hAnsi="Arial"/>
      <w:sz w:val="22"/>
    </w:rPr>
  </w:style>
  <w:style w:type="paragraph" w:customStyle="1" w:styleId="wal">
    <w:name w:val="wal"/>
    <w:basedOn w:val="Normal"/>
    <w:link w:val="walChar"/>
    <w:rsid w:val="008C6F7D"/>
    <w:pPr>
      <w:spacing w:after="0" w:line="240" w:lineRule="auto"/>
      <w:jc w:val="both"/>
    </w:pPr>
    <w:rPr>
      <w:rFonts w:ascii="Arial" w:eastAsia="Times New Roman" w:hAnsi="Arial" w:cs="Arial"/>
      <w:szCs w:val="21"/>
      <w:lang w:eastAsia="en-GB"/>
    </w:rPr>
  </w:style>
  <w:style w:type="character" w:customStyle="1" w:styleId="walChar">
    <w:name w:val="wal Char"/>
    <w:basedOn w:val="DefaultParagraphFont"/>
    <w:link w:val="wal"/>
    <w:rsid w:val="008C6F7D"/>
    <w:rPr>
      <w:rFonts w:ascii="Arial" w:eastAsia="Times New Roman" w:hAnsi="Arial" w:cs="Arial"/>
      <w:szCs w:val="21"/>
      <w:lang w:eastAsia="en-GB"/>
    </w:rPr>
  </w:style>
  <w:style w:type="character" w:customStyle="1" w:styleId="A4">
    <w:name w:val="A4"/>
    <w:uiPriority w:val="99"/>
    <w:rsid w:val="00662586"/>
    <w:rPr>
      <w:rFonts w:cs="Helvetica 55 Roman"/>
      <w:b/>
      <w:bCs/>
      <w:color w:val="000000"/>
      <w:sz w:val="32"/>
      <w:szCs w:val="32"/>
    </w:rPr>
  </w:style>
  <w:style w:type="character" w:styleId="Hyperlink">
    <w:name w:val="Hyperlink"/>
    <w:basedOn w:val="DefaultParagraphFont"/>
    <w:uiPriority w:val="99"/>
    <w:unhideWhenUsed/>
    <w:rsid w:val="00662586"/>
    <w:rPr>
      <w:color w:val="0000FF" w:themeColor="hyperlink"/>
      <w:u w:val="single"/>
    </w:rPr>
  </w:style>
  <w:style w:type="paragraph" w:styleId="Header">
    <w:name w:val="header"/>
    <w:basedOn w:val="Normal"/>
    <w:link w:val="HeaderChar"/>
    <w:uiPriority w:val="99"/>
    <w:unhideWhenUsed/>
    <w:rsid w:val="00CC69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950"/>
  </w:style>
  <w:style w:type="paragraph" w:styleId="Footer">
    <w:name w:val="footer"/>
    <w:basedOn w:val="Normal"/>
    <w:link w:val="FooterChar"/>
    <w:uiPriority w:val="99"/>
    <w:unhideWhenUsed/>
    <w:rsid w:val="00CC69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ox.Transmission.NewGasConnections.NTS@uk.ngr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9A3D7-CA2D-4DE7-B1C9-AA88A3EB4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1169</Words>
  <Characters>6666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cp:lastPrinted>2015-01-22T11:07:00Z</cp:lastPrinted>
  <dcterms:created xsi:type="dcterms:W3CDTF">2015-01-30T14:14:00Z</dcterms:created>
  <dcterms:modified xsi:type="dcterms:W3CDTF">2015-01-30T14:14:00Z</dcterms:modified>
</cp:coreProperties>
</file>